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0B4E" w14:textId="77777777" w:rsidR="00A72390" w:rsidRDefault="009E7BED">
      <w:pPr>
        <w:pStyle w:val="Title"/>
        <w:spacing w:after="80"/>
        <w:ind w:left="0"/>
        <w:jc w:val="center"/>
        <w:rPr>
          <w:rFonts w:ascii="Impact" w:eastAsia="Impact" w:hAnsi="Impact" w:cs="Impact"/>
          <w:b w:val="0"/>
          <w:sz w:val="40"/>
          <w:szCs w:val="40"/>
        </w:rPr>
      </w:pPr>
      <w:bookmarkStart w:id="0" w:name="_gjdgxs" w:colFirst="0" w:colLast="0"/>
      <w:bookmarkEnd w:id="0"/>
      <w:r>
        <w:rPr>
          <w:rFonts w:ascii="Impact" w:eastAsia="Impact" w:hAnsi="Impact" w:cs="Impact"/>
          <w:b w:val="0"/>
          <w:sz w:val="40"/>
          <w:szCs w:val="40"/>
        </w:rPr>
        <w:t>COURSE SYLLABUS</w:t>
      </w:r>
    </w:p>
    <w:p w14:paraId="49187CF6" w14:textId="77777777" w:rsidR="00A72390" w:rsidRDefault="009E7BED">
      <w:pPr>
        <w:jc w:val="center"/>
        <w:rPr>
          <w:rFonts w:ascii="Times New Roman" w:eastAsia="Times New Roman" w:hAnsi="Times New Roman" w:cs="Times New Roman"/>
        </w:rPr>
      </w:pPr>
      <w:r>
        <w:rPr>
          <w:rFonts w:ascii="Times New Roman" w:eastAsia="Times New Roman" w:hAnsi="Times New Roman" w:cs="Times New Roman"/>
        </w:rPr>
        <w:t>Bus. 301.4 OA</w:t>
      </w:r>
    </w:p>
    <w:p w14:paraId="4B7ECA19" w14:textId="77777777" w:rsidR="00A72390" w:rsidRDefault="009E7BED">
      <w:pPr>
        <w:jc w:val="center"/>
        <w:rPr>
          <w:rFonts w:ascii="Times New Roman" w:eastAsia="Times New Roman" w:hAnsi="Times New Roman" w:cs="Times New Roman"/>
        </w:rPr>
      </w:pPr>
      <w:r>
        <w:rPr>
          <w:rFonts w:ascii="Times New Roman" w:eastAsia="Times New Roman" w:hAnsi="Times New Roman" w:cs="Times New Roman"/>
        </w:rPr>
        <w:t>Building Relationships for Business</w:t>
      </w:r>
    </w:p>
    <w:p w14:paraId="5A1C0E07" w14:textId="77777777" w:rsidR="00A72390" w:rsidRDefault="009E7BED">
      <w:pPr>
        <w:spacing w:after="120"/>
        <w:jc w:val="center"/>
        <w:rPr>
          <w:rFonts w:ascii="Times New Roman" w:eastAsia="Times New Roman" w:hAnsi="Times New Roman" w:cs="Times New Roman"/>
        </w:rPr>
      </w:pPr>
      <w:r>
        <w:rPr>
          <w:rFonts w:ascii="Times New Roman" w:eastAsia="Times New Roman" w:hAnsi="Times New Roman" w:cs="Times New Roman"/>
        </w:rPr>
        <w:t>Spring 2023 Online Asynchronous (OA)</w:t>
      </w:r>
    </w:p>
    <w:p w14:paraId="0153006F" w14:textId="77777777" w:rsidR="00A72390" w:rsidRDefault="009E7BED">
      <w:pPr>
        <w:pStyle w:val="Heading1"/>
        <w:numPr>
          <w:ilvl w:val="0"/>
          <w:numId w:val="6"/>
        </w:numPr>
      </w:pPr>
      <w:r>
        <w:t>Course Information</w:t>
      </w:r>
    </w:p>
    <w:p w14:paraId="6844464A" w14:textId="77777777" w:rsidR="00A72390" w:rsidRDefault="009E7BED">
      <w:pPr>
        <w:pStyle w:val="Heading2"/>
        <w:numPr>
          <w:ilvl w:val="1"/>
          <w:numId w:val="6"/>
        </w:numPr>
      </w:pPr>
      <w:r>
        <w:t>Instructor Information</w:t>
      </w:r>
    </w:p>
    <w:tbl>
      <w:tblPr>
        <w:tblStyle w:val="a"/>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64"/>
      </w:tblGrid>
      <w:tr w:rsidR="00A72390" w14:paraId="6D8502D8" w14:textId="77777777">
        <w:tc>
          <w:tcPr>
            <w:tcW w:w="2605" w:type="dxa"/>
          </w:tcPr>
          <w:p w14:paraId="1E4965EB" w14:textId="77777777" w:rsidR="00A72390" w:rsidRDefault="009E7BED">
            <w:pPr>
              <w:rPr>
                <w:b/>
              </w:rPr>
            </w:pPr>
            <w:r>
              <w:rPr>
                <w:b/>
              </w:rPr>
              <w:t>Instructor</w:t>
            </w:r>
          </w:p>
        </w:tc>
        <w:tc>
          <w:tcPr>
            <w:tcW w:w="6364" w:type="dxa"/>
          </w:tcPr>
          <w:p w14:paraId="00D7AFEF" w14:textId="77777777" w:rsidR="00A72390" w:rsidRDefault="009E7BED">
            <w:r>
              <w:t>Dr. Reed Stratton (you can call me “Professor Stratton”)</w:t>
            </w:r>
          </w:p>
        </w:tc>
      </w:tr>
      <w:tr w:rsidR="00A72390" w14:paraId="41CDDCB4" w14:textId="77777777">
        <w:tc>
          <w:tcPr>
            <w:tcW w:w="2605" w:type="dxa"/>
          </w:tcPr>
          <w:p w14:paraId="22CAF9F4" w14:textId="77777777" w:rsidR="00A72390" w:rsidRDefault="009E7BED">
            <w:pPr>
              <w:rPr>
                <w:b/>
              </w:rPr>
            </w:pPr>
            <w:r>
              <w:rPr>
                <w:b/>
              </w:rPr>
              <w:t>Office</w:t>
            </w:r>
          </w:p>
        </w:tc>
        <w:tc>
          <w:tcPr>
            <w:tcW w:w="6364" w:type="dxa"/>
          </w:tcPr>
          <w:p w14:paraId="5FE3D0CB" w14:textId="77777777" w:rsidR="00A72390" w:rsidRDefault="009E7BED">
            <w:r>
              <w:t xml:space="preserve">CPS 216 &amp; </w:t>
            </w:r>
            <w:hyperlink r:id="rId7" w:anchor="success">
              <w:r>
                <w:rPr>
                  <w:color w:val="1155CC"/>
                  <w:u w:val="single"/>
                </w:rPr>
                <w:t>Online Via Zoom</w:t>
              </w:r>
            </w:hyperlink>
            <w:r>
              <w:t xml:space="preserve"> (Password: Audience)</w:t>
            </w:r>
          </w:p>
        </w:tc>
      </w:tr>
      <w:tr w:rsidR="00A72390" w14:paraId="708D2867" w14:textId="77777777">
        <w:trPr>
          <w:trHeight w:val="390"/>
        </w:trPr>
        <w:tc>
          <w:tcPr>
            <w:tcW w:w="2605" w:type="dxa"/>
          </w:tcPr>
          <w:p w14:paraId="1198C0E2" w14:textId="77777777" w:rsidR="00A72390" w:rsidRDefault="009E7BED">
            <w:pPr>
              <w:rPr>
                <w:b/>
              </w:rPr>
            </w:pPr>
            <w:hyperlink r:id="rId8">
              <w:r>
                <w:rPr>
                  <w:b/>
                  <w:color w:val="1155CC"/>
                  <w:u w:val="single"/>
                </w:rPr>
                <w:t>Office Hours</w:t>
              </w:r>
            </w:hyperlink>
          </w:p>
        </w:tc>
        <w:tc>
          <w:tcPr>
            <w:tcW w:w="6364" w:type="dxa"/>
          </w:tcPr>
          <w:p w14:paraId="2C2C4943" w14:textId="77777777" w:rsidR="00A72390" w:rsidRDefault="009E7BED">
            <w:r>
              <w:t>Monday: 11:00am-3:30pm</w:t>
            </w:r>
          </w:p>
          <w:p w14:paraId="3A035ACB" w14:textId="77777777" w:rsidR="00A72390" w:rsidRDefault="009E7BED">
            <w:r>
              <w:t>Tuesday: 12:00pm-3:30pm</w:t>
            </w:r>
          </w:p>
          <w:p w14:paraId="2DBEF437" w14:textId="77777777" w:rsidR="00A72390" w:rsidRDefault="009E7BED">
            <w:r>
              <w:t>Wednesday: By appointment</w:t>
            </w:r>
          </w:p>
          <w:p w14:paraId="11ABACFD" w14:textId="77777777" w:rsidR="00A72390" w:rsidRDefault="009E7BED">
            <w:r>
              <w:t>Thursday: Online 7:00am-9:00am</w:t>
            </w:r>
          </w:p>
          <w:p w14:paraId="02181292" w14:textId="77777777" w:rsidR="00A72390" w:rsidRDefault="009E7BED">
            <w:r>
              <w:t>Friday: Online 7:00am-9:00am</w:t>
            </w:r>
          </w:p>
        </w:tc>
      </w:tr>
      <w:tr w:rsidR="00A72390" w14:paraId="5660A72F" w14:textId="77777777">
        <w:tc>
          <w:tcPr>
            <w:tcW w:w="2605" w:type="dxa"/>
          </w:tcPr>
          <w:p w14:paraId="7253EE8E" w14:textId="77777777" w:rsidR="00A72390" w:rsidRDefault="009E7BED">
            <w:pPr>
              <w:rPr>
                <w:b/>
              </w:rPr>
            </w:pPr>
            <w:r>
              <w:rPr>
                <w:b/>
              </w:rPr>
              <w:t>Cell Phone</w:t>
            </w:r>
          </w:p>
        </w:tc>
        <w:tc>
          <w:tcPr>
            <w:tcW w:w="6364" w:type="dxa"/>
          </w:tcPr>
          <w:p w14:paraId="18F3A72A" w14:textId="77777777" w:rsidR="00A72390" w:rsidRDefault="009E7BED">
            <w:pPr>
              <w:rPr>
                <w:highlight w:val="white"/>
              </w:rPr>
            </w:pPr>
            <w:r>
              <w:rPr>
                <w:highlight w:val="white"/>
              </w:rPr>
              <w:t>507-304-0223</w:t>
            </w:r>
          </w:p>
        </w:tc>
      </w:tr>
      <w:tr w:rsidR="00A72390" w14:paraId="507CC561" w14:textId="77777777">
        <w:tc>
          <w:tcPr>
            <w:tcW w:w="2605" w:type="dxa"/>
          </w:tcPr>
          <w:p w14:paraId="54FAA75D" w14:textId="77777777" w:rsidR="00A72390" w:rsidRDefault="009E7BED">
            <w:pPr>
              <w:rPr>
                <w:b/>
              </w:rPr>
            </w:pPr>
            <w:r>
              <w:rPr>
                <w:b/>
              </w:rPr>
              <w:t>E-mail</w:t>
            </w:r>
          </w:p>
        </w:tc>
        <w:tc>
          <w:tcPr>
            <w:tcW w:w="6364" w:type="dxa"/>
          </w:tcPr>
          <w:p w14:paraId="2EF38D34" w14:textId="77777777" w:rsidR="00A72390" w:rsidRDefault="009E7BED">
            <w:r>
              <w:t>Reed.stratton@uwsp.edu</w:t>
            </w:r>
          </w:p>
        </w:tc>
      </w:tr>
      <w:tr w:rsidR="00A72390" w14:paraId="462A2671" w14:textId="77777777">
        <w:tc>
          <w:tcPr>
            <w:tcW w:w="2605" w:type="dxa"/>
          </w:tcPr>
          <w:p w14:paraId="5DACEAA3" w14:textId="77777777" w:rsidR="00A72390" w:rsidRDefault="009E7BED">
            <w:pPr>
              <w:rPr>
                <w:b/>
              </w:rPr>
            </w:pPr>
            <w:r>
              <w:rPr>
                <w:b/>
              </w:rPr>
              <w:t>Expected Instructor Response Time</w:t>
            </w:r>
          </w:p>
        </w:tc>
        <w:tc>
          <w:tcPr>
            <w:tcW w:w="6364" w:type="dxa"/>
          </w:tcPr>
          <w:p w14:paraId="4DB2453B" w14:textId="77777777" w:rsidR="00A72390" w:rsidRDefault="009E7BED">
            <w:r>
              <w:t>24 hours if contacted Monday-Friday</w:t>
            </w:r>
          </w:p>
          <w:p w14:paraId="4B16D65A" w14:textId="77777777" w:rsidR="00A72390" w:rsidRDefault="009E7BED">
            <w:r>
              <w:t>72 Hours if contacted Saturday, Sunday</w:t>
            </w:r>
          </w:p>
        </w:tc>
      </w:tr>
      <w:tr w:rsidR="00A72390" w14:paraId="02348ABE" w14:textId="77777777">
        <w:tc>
          <w:tcPr>
            <w:tcW w:w="2605" w:type="dxa"/>
          </w:tcPr>
          <w:p w14:paraId="5A119E88" w14:textId="77777777" w:rsidR="00A72390" w:rsidRDefault="009E7BED">
            <w:pPr>
              <w:rPr>
                <w:b/>
              </w:rPr>
            </w:pPr>
            <w:r>
              <w:rPr>
                <w:b/>
              </w:rPr>
              <w:t>Format</w:t>
            </w:r>
          </w:p>
        </w:tc>
        <w:tc>
          <w:tcPr>
            <w:tcW w:w="6364" w:type="dxa"/>
          </w:tcPr>
          <w:p w14:paraId="70FBAD4E" w14:textId="77777777" w:rsidR="00A72390" w:rsidRDefault="009E7BED">
            <w:r>
              <w:t>Online Asynchronous- Complete work on Your Own Weekly</w:t>
            </w:r>
          </w:p>
        </w:tc>
      </w:tr>
    </w:tbl>
    <w:p w14:paraId="34BB42D0" w14:textId="77777777" w:rsidR="00A72390" w:rsidRDefault="009E7BED">
      <w:pPr>
        <w:pStyle w:val="Heading2"/>
        <w:numPr>
          <w:ilvl w:val="1"/>
          <w:numId w:val="6"/>
        </w:numPr>
      </w:pPr>
      <w:r>
        <w:t>Course Information</w:t>
      </w:r>
    </w:p>
    <w:tbl>
      <w:tblPr>
        <w:tblStyle w:val="a0"/>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59"/>
      </w:tblGrid>
      <w:tr w:rsidR="00A72390" w14:paraId="679B5CC3" w14:textId="77777777">
        <w:tc>
          <w:tcPr>
            <w:tcW w:w="2605" w:type="dxa"/>
          </w:tcPr>
          <w:p w14:paraId="0EFEEA5A" w14:textId="77777777" w:rsidR="00A72390" w:rsidRDefault="009E7BED">
            <w:pPr>
              <w:rPr>
                <w:b/>
              </w:rPr>
            </w:pPr>
            <w:r>
              <w:rPr>
                <w:b/>
              </w:rPr>
              <w:t xml:space="preserve">Course Description: </w:t>
            </w:r>
          </w:p>
        </w:tc>
        <w:tc>
          <w:tcPr>
            <w:tcW w:w="6359" w:type="dxa"/>
            <w:tcMar>
              <w:top w:w="100" w:type="dxa"/>
              <w:left w:w="100" w:type="dxa"/>
              <w:bottom w:w="100" w:type="dxa"/>
              <w:right w:w="100" w:type="dxa"/>
            </w:tcMar>
          </w:tcPr>
          <w:p w14:paraId="64713F6E" w14:textId="77777777" w:rsidR="00A72390" w:rsidRDefault="009E7BED">
            <w:pPr>
              <w:spacing w:line="250" w:lineRule="auto"/>
            </w:pPr>
            <w:r>
              <w:t>Study and practice strategies of interacting with others in business, in internships, and after graduation. Acquire and practice in-demand interpersonal skills in business such as collaboration, leadership, networking, negotiation, cross-cultural awareness</w:t>
            </w:r>
            <w:r>
              <w:t>, conflict management, giving and receiving feedback, and self-awareness. Apply communication theory to concrete, contextualized interpersonal communication activities and projects.</w:t>
            </w:r>
          </w:p>
        </w:tc>
      </w:tr>
      <w:tr w:rsidR="00A72390" w14:paraId="3CA2E0EF" w14:textId="77777777">
        <w:tc>
          <w:tcPr>
            <w:tcW w:w="2605" w:type="dxa"/>
          </w:tcPr>
          <w:p w14:paraId="4E42A411" w14:textId="77777777" w:rsidR="00A72390" w:rsidRDefault="009E7BED">
            <w:pPr>
              <w:rPr>
                <w:b/>
              </w:rPr>
            </w:pPr>
            <w:r>
              <w:rPr>
                <w:b/>
              </w:rPr>
              <w:t>Credits:</w:t>
            </w:r>
          </w:p>
        </w:tc>
        <w:tc>
          <w:tcPr>
            <w:tcW w:w="6359" w:type="dxa"/>
          </w:tcPr>
          <w:p w14:paraId="6D9D0A59" w14:textId="77777777" w:rsidR="00A72390" w:rsidRDefault="009E7BED">
            <w:r>
              <w:t>3</w:t>
            </w:r>
          </w:p>
        </w:tc>
      </w:tr>
      <w:tr w:rsidR="00A72390" w14:paraId="0D8B6E68" w14:textId="77777777">
        <w:tc>
          <w:tcPr>
            <w:tcW w:w="2605" w:type="dxa"/>
          </w:tcPr>
          <w:p w14:paraId="4F9BFA2E" w14:textId="77777777" w:rsidR="00A72390" w:rsidRDefault="009E7BED">
            <w:pPr>
              <w:rPr>
                <w:b/>
              </w:rPr>
            </w:pPr>
            <w:r>
              <w:rPr>
                <w:b/>
              </w:rPr>
              <w:t>Prerequisites:</w:t>
            </w:r>
          </w:p>
        </w:tc>
        <w:tc>
          <w:tcPr>
            <w:tcW w:w="6359" w:type="dxa"/>
          </w:tcPr>
          <w:p w14:paraId="2DD989E2" w14:textId="77777777" w:rsidR="00A72390" w:rsidRDefault="009E7BED">
            <w:r>
              <w:t>Bus. 325</w:t>
            </w:r>
          </w:p>
        </w:tc>
      </w:tr>
    </w:tbl>
    <w:p w14:paraId="39175450" w14:textId="77777777" w:rsidR="00A72390" w:rsidRDefault="009E7BED">
      <w:pPr>
        <w:pStyle w:val="Heading2"/>
        <w:numPr>
          <w:ilvl w:val="1"/>
          <w:numId w:val="6"/>
        </w:numPr>
      </w:pPr>
      <w:r>
        <w:t>Textbook &amp; Course Materials</w:t>
      </w:r>
    </w:p>
    <w:tbl>
      <w:tblPr>
        <w:tblStyle w:val="a1"/>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359"/>
      </w:tblGrid>
      <w:tr w:rsidR="00A72390" w14:paraId="168EE845" w14:textId="77777777">
        <w:tc>
          <w:tcPr>
            <w:tcW w:w="2605" w:type="dxa"/>
          </w:tcPr>
          <w:p w14:paraId="4F0A544F" w14:textId="77777777" w:rsidR="00A72390" w:rsidRDefault="009E7BED">
            <w:pPr>
              <w:rPr>
                <w:b/>
              </w:rPr>
            </w:pPr>
            <w:r>
              <w:rPr>
                <w:b/>
              </w:rPr>
              <w:t xml:space="preserve">Required Text: </w:t>
            </w:r>
          </w:p>
        </w:tc>
        <w:tc>
          <w:tcPr>
            <w:tcW w:w="6359" w:type="dxa"/>
          </w:tcPr>
          <w:p w14:paraId="5A512CF8" w14:textId="77777777" w:rsidR="00A72390" w:rsidRDefault="009E7BED">
            <w:pPr>
              <w:rPr>
                <w:i/>
              </w:rPr>
            </w:pPr>
            <w:r>
              <w:rPr>
                <w:i/>
              </w:rPr>
              <w:t>The Harvard Business Review Guide to Persuasive Presentations</w:t>
            </w:r>
          </w:p>
          <w:p w14:paraId="773710DD" w14:textId="77777777" w:rsidR="00A72390" w:rsidRDefault="009E7BED">
            <w:pPr>
              <w:rPr>
                <w:i/>
              </w:rPr>
            </w:pPr>
            <w:hyperlink r:id="rId9">
              <w:r>
                <w:rPr>
                  <w:color w:val="1155CC"/>
                  <w:u w:val="single"/>
                </w:rPr>
                <w:t>Handbook for Early Career Success</w:t>
              </w:r>
            </w:hyperlink>
          </w:p>
        </w:tc>
      </w:tr>
      <w:tr w:rsidR="00A72390" w14:paraId="4C928B36" w14:textId="77777777">
        <w:tc>
          <w:tcPr>
            <w:tcW w:w="2605" w:type="dxa"/>
          </w:tcPr>
          <w:p w14:paraId="03716DD2" w14:textId="77777777" w:rsidR="00A72390" w:rsidRDefault="009E7BED">
            <w:pPr>
              <w:rPr>
                <w:b/>
              </w:rPr>
            </w:pPr>
            <w:r>
              <w:rPr>
                <w:b/>
              </w:rPr>
              <w:t>Other Readings:</w:t>
            </w:r>
          </w:p>
        </w:tc>
        <w:tc>
          <w:tcPr>
            <w:tcW w:w="6359" w:type="dxa"/>
          </w:tcPr>
          <w:p w14:paraId="318EC118" w14:textId="77777777" w:rsidR="00A72390" w:rsidRDefault="009E7BED">
            <w:r>
              <w:t>Supplemental readings posted on Canvas</w:t>
            </w:r>
          </w:p>
        </w:tc>
      </w:tr>
      <w:tr w:rsidR="00A72390" w14:paraId="5D7EB7D1" w14:textId="77777777">
        <w:tc>
          <w:tcPr>
            <w:tcW w:w="2605" w:type="dxa"/>
          </w:tcPr>
          <w:p w14:paraId="2CF37A20" w14:textId="77777777" w:rsidR="00A72390" w:rsidRDefault="009E7BED">
            <w:pPr>
              <w:rPr>
                <w:b/>
              </w:rPr>
            </w:pPr>
            <w:r>
              <w:rPr>
                <w:b/>
              </w:rPr>
              <w:t>Other Required Materials</w:t>
            </w:r>
          </w:p>
        </w:tc>
        <w:tc>
          <w:tcPr>
            <w:tcW w:w="6359" w:type="dxa"/>
          </w:tcPr>
          <w:p w14:paraId="13A0D97F" w14:textId="77777777" w:rsidR="00A72390" w:rsidRDefault="009E7BED">
            <w:r>
              <w:t xml:space="preserve">Computer, Tablet, or Smartphone </w:t>
            </w:r>
          </w:p>
          <w:p w14:paraId="1CC495A3" w14:textId="77777777" w:rsidR="00A72390" w:rsidRDefault="009E7BED">
            <w:r>
              <w:t>Web Cam</w:t>
            </w:r>
          </w:p>
          <w:p w14:paraId="3CAD400B" w14:textId="77777777" w:rsidR="00A72390" w:rsidRDefault="009E7BED">
            <w:r>
              <w:lastRenderedPageBreak/>
              <w:t>Microphone</w:t>
            </w:r>
          </w:p>
        </w:tc>
      </w:tr>
    </w:tbl>
    <w:p w14:paraId="615EB440" w14:textId="77777777" w:rsidR="00A72390" w:rsidRDefault="009E7BED">
      <w:pPr>
        <w:rPr>
          <w:rFonts w:ascii="Times New Roman" w:eastAsia="Times New Roman" w:hAnsi="Times New Roman" w:cs="Times New Roman"/>
          <w:sz w:val="36"/>
          <w:szCs w:val="36"/>
        </w:rPr>
      </w:pPr>
      <w:r>
        <w:lastRenderedPageBreak/>
        <w:br w:type="page"/>
      </w:r>
    </w:p>
    <w:p w14:paraId="0935E79A" w14:textId="77777777" w:rsidR="00A72390" w:rsidRDefault="00A72390">
      <w:pPr>
        <w:rPr>
          <w:rFonts w:ascii="Times New Roman" w:eastAsia="Times New Roman" w:hAnsi="Times New Roman" w:cs="Times New Roman"/>
          <w:sz w:val="36"/>
          <w:szCs w:val="36"/>
        </w:rPr>
      </w:pPr>
    </w:p>
    <w:p w14:paraId="7402A515" w14:textId="77777777" w:rsidR="00A72390" w:rsidRDefault="009E7BED">
      <w:pPr>
        <w:pStyle w:val="Heading1"/>
        <w:numPr>
          <w:ilvl w:val="0"/>
          <w:numId w:val="6"/>
        </w:numPr>
      </w:pPr>
      <w:r>
        <w:t>Learning Outcomes</w:t>
      </w:r>
    </w:p>
    <w:p w14:paraId="248401EE" w14:textId="77777777" w:rsidR="00A72390" w:rsidRDefault="009E7BED">
      <w:pPr>
        <w:pStyle w:val="Heading2"/>
        <w:numPr>
          <w:ilvl w:val="1"/>
          <w:numId w:val="6"/>
        </w:numPr>
      </w:pPr>
      <w:bookmarkStart w:id="1" w:name="_j9cww9h8ph5g" w:colFirst="0" w:colLast="0"/>
      <w:bookmarkEnd w:id="1"/>
      <w:r>
        <w:t>SBE Mission</w:t>
      </w:r>
    </w:p>
    <w:tbl>
      <w:tblPr>
        <w:tblStyle w:val="a2"/>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025A8B87" w14:textId="77777777">
        <w:tc>
          <w:tcPr>
            <w:tcW w:w="8964" w:type="dxa"/>
          </w:tcPr>
          <w:p w14:paraId="774ABF21" w14:textId="77777777" w:rsidR="00A72390" w:rsidRDefault="009E7BED">
            <w:pPr>
              <w:tabs>
                <w:tab w:val="left" w:pos="720"/>
              </w:tabs>
            </w:pPr>
            <w:r>
              <w:t>The UW-Stevens Point School of Business and Economics creates career ready graduates and leaders through applied learning. We serve the businesses, economy, and people of the greater Central Wisconsin region. We specialize in preparing students for success</w:t>
            </w:r>
            <w:r>
              <w:t xml:space="preserve"> by providing professional development experiences, access to employers, and in-demand skills. </w:t>
            </w:r>
          </w:p>
          <w:p w14:paraId="0993539F" w14:textId="77777777" w:rsidR="00A72390" w:rsidRDefault="00A72390">
            <w:pPr>
              <w:tabs>
                <w:tab w:val="left" w:pos="720"/>
              </w:tabs>
            </w:pPr>
          </w:p>
          <w:p w14:paraId="73FBAD56" w14:textId="77777777" w:rsidR="00A72390" w:rsidRDefault="009E7BED">
            <w:pPr>
              <w:tabs>
                <w:tab w:val="left" w:pos="720"/>
              </w:tabs>
            </w:pPr>
            <w:r>
              <w:t xml:space="preserve">The SBE achieves its mission by valuing: </w:t>
            </w:r>
          </w:p>
          <w:p w14:paraId="1935AD63" w14:textId="77777777" w:rsidR="00A72390" w:rsidRDefault="009E7BED">
            <w:pPr>
              <w:numPr>
                <w:ilvl w:val="0"/>
                <w:numId w:val="4"/>
              </w:numPr>
              <w:tabs>
                <w:tab w:val="left" w:pos="720"/>
              </w:tabs>
            </w:pPr>
            <w:r>
              <w:t xml:space="preserve">Talent development </w:t>
            </w:r>
          </w:p>
          <w:p w14:paraId="3B496D3B" w14:textId="77777777" w:rsidR="00A72390" w:rsidRDefault="009E7BED">
            <w:pPr>
              <w:numPr>
                <w:ilvl w:val="0"/>
                <w:numId w:val="4"/>
              </w:numPr>
              <w:tabs>
                <w:tab w:val="left" w:pos="720"/>
              </w:tabs>
            </w:pPr>
            <w:r>
              <w:t xml:space="preserve">Lifelong learning </w:t>
            </w:r>
          </w:p>
          <w:p w14:paraId="0AF0481A" w14:textId="77777777" w:rsidR="00A72390" w:rsidRDefault="009E7BED">
            <w:pPr>
              <w:numPr>
                <w:ilvl w:val="0"/>
                <w:numId w:val="4"/>
              </w:numPr>
              <w:tabs>
                <w:tab w:val="left" w:pos="720"/>
              </w:tabs>
            </w:pPr>
            <w:r>
              <w:t>Career preparation</w:t>
            </w:r>
          </w:p>
          <w:p w14:paraId="3F0AD4DA" w14:textId="77777777" w:rsidR="00A72390" w:rsidRDefault="009E7BED">
            <w:pPr>
              <w:numPr>
                <w:ilvl w:val="0"/>
                <w:numId w:val="4"/>
              </w:numPr>
              <w:tabs>
                <w:tab w:val="left" w:pos="720"/>
              </w:tabs>
            </w:pPr>
            <w:r>
              <w:t>On the job experiences</w:t>
            </w:r>
          </w:p>
          <w:p w14:paraId="1D948D02" w14:textId="77777777" w:rsidR="00A72390" w:rsidRDefault="009E7BED">
            <w:pPr>
              <w:numPr>
                <w:ilvl w:val="0"/>
                <w:numId w:val="4"/>
              </w:numPr>
              <w:tabs>
                <w:tab w:val="left" w:pos="720"/>
              </w:tabs>
            </w:pPr>
            <w:r>
              <w:t>Community outreach</w:t>
            </w:r>
          </w:p>
          <w:p w14:paraId="66F24916" w14:textId="77777777" w:rsidR="00A72390" w:rsidRDefault="009E7BED">
            <w:pPr>
              <w:numPr>
                <w:ilvl w:val="0"/>
                <w:numId w:val="4"/>
              </w:numPr>
              <w:tabs>
                <w:tab w:val="left" w:pos="720"/>
              </w:tabs>
            </w:pPr>
            <w:r>
              <w:t>Regional partnerships</w:t>
            </w:r>
          </w:p>
          <w:p w14:paraId="77EAB624" w14:textId="77777777" w:rsidR="00A72390" w:rsidRDefault="009E7BED">
            <w:pPr>
              <w:numPr>
                <w:ilvl w:val="0"/>
                <w:numId w:val="4"/>
              </w:numPr>
              <w:tabs>
                <w:tab w:val="left" w:pos="720"/>
              </w:tabs>
            </w:pPr>
            <w:r>
              <w:t>Continuous improvement</w:t>
            </w:r>
          </w:p>
        </w:tc>
      </w:tr>
    </w:tbl>
    <w:p w14:paraId="66A764AD" w14:textId="77777777" w:rsidR="00A72390" w:rsidRDefault="009E7BED">
      <w:pPr>
        <w:pStyle w:val="Heading2"/>
        <w:numPr>
          <w:ilvl w:val="1"/>
          <w:numId w:val="6"/>
        </w:numPr>
      </w:pPr>
      <w:bookmarkStart w:id="2" w:name="_21notebge9d" w:colFirst="0" w:colLast="0"/>
      <w:bookmarkEnd w:id="2"/>
      <w:r>
        <w:t>Course Goals for professionalism and effective communication</w:t>
      </w:r>
    </w:p>
    <w:tbl>
      <w:tblPr>
        <w:tblStyle w:val="a3"/>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57303A19" w14:textId="77777777">
        <w:trPr>
          <w:trHeight w:val="4960"/>
        </w:trPr>
        <w:tc>
          <w:tcPr>
            <w:tcW w:w="8964" w:type="dxa"/>
          </w:tcPr>
          <w:p w14:paraId="3ECE2840" w14:textId="77777777" w:rsidR="00A72390" w:rsidRDefault="009E7BED">
            <w:pPr>
              <w:keepNext/>
              <w:tabs>
                <w:tab w:val="left" w:pos="0"/>
              </w:tabs>
              <w:ind w:hanging="360"/>
            </w:pPr>
            <w:r>
              <w:rPr>
                <w:rFonts w:ascii="Libre Baskerville" w:eastAsia="Libre Baskerville" w:hAnsi="Libre Baskerville" w:cs="Libre Baskerville"/>
                <w:sz w:val="22"/>
                <w:szCs w:val="22"/>
              </w:rPr>
              <w:t xml:space="preserve">M </w:t>
            </w:r>
            <w:r>
              <w:t>Most SBE courses achieve the SBE Mission through knowledge-based instruction. Those courses teach what you must know as a business professional, and you  demonstrate that you know what you're supposed to know through exams and assignments. However, BUS 301</w:t>
            </w:r>
            <w:r>
              <w:t xml:space="preserve"> focuses more on the last two missions: professionalism and effective communication. The objective of this course is to help you expand your awareness and comfort zone during professional interactions, so you can become more deliberate and strategic in you</w:t>
            </w:r>
            <w:r>
              <w:t xml:space="preserve">r communication approach. Therefore, BUS 301 is behavior-based, emphasizing what you can </w:t>
            </w:r>
            <w:r>
              <w:rPr>
                <w:i/>
              </w:rPr>
              <w:t xml:space="preserve">do </w:t>
            </w:r>
            <w:r>
              <w:t xml:space="preserve">more than what you </w:t>
            </w:r>
            <w:r>
              <w:rPr>
                <w:i/>
              </w:rPr>
              <w:t>know</w:t>
            </w:r>
            <w:r>
              <w:t xml:space="preserve">.  These behaviors include: </w:t>
            </w:r>
          </w:p>
          <w:p w14:paraId="05EB0335" w14:textId="77777777" w:rsidR="00A72390" w:rsidRDefault="00A72390">
            <w:pPr>
              <w:keepNext/>
              <w:tabs>
                <w:tab w:val="left" w:pos="0"/>
              </w:tabs>
              <w:ind w:hanging="360"/>
            </w:pPr>
          </w:p>
          <w:p w14:paraId="23E6C792" w14:textId="77777777" w:rsidR="00A72390" w:rsidRDefault="009E7BED">
            <w:pPr>
              <w:keepNext/>
              <w:tabs>
                <w:tab w:val="left" w:pos="0"/>
              </w:tabs>
            </w:pPr>
            <w:r>
              <w:t>• Conveying passion</w:t>
            </w:r>
            <w:r>
              <w:tab/>
            </w:r>
            <w:r>
              <w:tab/>
            </w:r>
            <w:r>
              <w:tab/>
              <w:t>• Managing ambiguity</w:t>
            </w:r>
          </w:p>
          <w:p w14:paraId="6782F22B" w14:textId="77777777" w:rsidR="00A72390" w:rsidRDefault="009E7BED">
            <w:pPr>
              <w:keepNext/>
              <w:tabs>
                <w:tab w:val="left" w:pos="0"/>
              </w:tabs>
            </w:pPr>
            <w:r>
              <w:t>• Relationship building</w:t>
            </w:r>
            <w:r>
              <w:tab/>
            </w:r>
            <w:r>
              <w:tab/>
              <w:t>• Problem solving</w:t>
            </w:r>
          </w:p>
          <w:p w14:paraId="25915C6D" w14:textId="77777777" w:rsidR="00A72390" w:rsidRDefault="009E7BED">
            <w:pPr>
              <w:keepNext/>
              <w:tabs>
                <w:tab w:val="left" w:pos="0"/>
              </w:tabs>
            </w:pPr>
            <w:r>
              <w:t>• Analyzing</w:t>
            </w:r>
            <w:r>
              <w:tab/>
            </w:r>
            <w:r>
              <w:tab/>
            </w:r>
            <w:r>
              <w:tab/>
            </w:r>
            <w:r>
              <w:tab/>
              <w:t>• Strategi</w:t>
            </w:r>
            <w:r>
              <w:t>zing</w:t>
            </w:r>
          </w:p>
          <w:p w14:paraId="54937E4A" w14:textId="77777777" w:rsidR="00A72390" w:rsidRDefault="009E7BED">
            <w:pPr>
              <w:keepNext/>
              <w:tabs>
                <w:tab w:val="left" w:pos="0"/>
              </w:tabs>
            </w:pPr>
            <w:r>
              <w:t>• Storytelling</w:t>
            </w:r>
            <w:r>
              <w:tab/>
            </w:r>
            <w:r>
              <w:tab/>
            </w:r>
            <w:r>
              <w:tab/>
            </w:r>
            <w:r>
              <w:tab/>
              <w:t>• Being self-aware</w:t>
            </w:r>
          </w:p>
          <w:p w14:paraId="3960BBAB" w14:textId="77777777" w:rsidR="00A72390" w:rsidRDefault="009E7BED">
            <w:pPr>
              <w:keepNext/>
              <w:tabs>
                <w:tab w:val="left" w:pos="0"/>
              </w:tabs>
            </w:pPr>
            <w:r>
              <w:t>• Personal branding</w:t>
            </w:r>
            <w:r>
              <w:tab/>
            </w:r>
            <w:r>
              <w:tab/>
            </w:r>
            <w:r>
              <w:tab/>
              <w:t>• Perspective taking (what others think)</w:t>
            </w:r>
          </w:p>
          <w:p w14:paraId="4F0C6058" w14:textId="77777777" w:rsidR="00A72390" w:rsidRDefault="009E7BED">
            <w:pPr>
              <w:keepNext/>
              <w:tabs>
                <w:tab w:val="left" w:pos="0"/>
              </w:tabs>
            </w:pPr>
            <w:r>
              <w:t>• Pursuing intellectual curiosity</w:t>
            </w:r>
            <w:r>
              <w:tab/>
              <w:t>• Empathizing (what others feel)</w:t>
            </w:r>
          </w:p>
          <w:p w14:paraId="28D8E5EA" w14:textId="77777777" w:rsidR="00A72390" w:rsidRDefault="009E7BED">
            <w:pPr>
              <w:keepNext/>
              <w:tabs>
                <w:tab w:val="left" w:pos="0"/>
              </w:tabs>
            </w:pPr>
            <w:r>
              <w:t>• Practicing humility</w:t>
            </w:r>
            <w:r>
              <w:tab/>
            </w:r>
            <w:r>
              <w:tab/>
            </w:r>
            <w:r>
              <w:tab/>
              <w:t>• Being open to differences</w:t>
            </w:r>
          </w:p>
          <w:p w14:paraId="23F90299" w14:textId="77777777" w:rsidR="00A72390" w:rsidRDefault="009E7BED">
            <w:pPr>
              <w:keepNext/>
              <w:tabs>
                <w:tab w:val="left" w:pos="0"/>
              </w:tabs>
            </w:pPr>
            <w:r>
              <w:t>• Taking calculated risks</w:t>
            </w:r>
          </w:p>
          <w:p w14:paraId="22E57117" w14:textId="77777777" w:rsidR="00A72390" w:rsidRDefault="00A72390">
            <w:pPr>
              <w:keepNext/>
              <w:tabs>
                <w:tab w:val="left" w:pos="0"/>
              </w:tabs>
              <w:ind w:hanging="360"/>
            </w:pPr>
          </w:p>
        </w:tc>
      </w:tr>
    </w:tbl>
    <w:p w14:paraId="7031BA81" w14:textId="77777777" w:rsidR="00A72390" w:rsidRDefault="009E7BED">
      <w:pPr>
        <w:pStyle w:val="Heading2"/>
        <w:ind w:left="0" w:firstLine="0"/>
      </w:pPr>
      <w:bookmarkStart w:id="3" w:name="_u50zvc4blvuu" w:colFirst="0" w:colLast="0"/>
      <w:bookmarkEnd w:id="3"/>
      <w:r>
        <w:br w:type="page"/>
      </w:r>
    </w:p>
    <w:p w14:paraId="3ECCD682" w14:textId="77777777" w:rsidR="00A72390" w:rsidRDefault="009E7BED">
      <w:pPr>
        <w:pStyle w:val="Heading2"/>
        <w:numPr>
          <w:ilvl w:val="1"/>
          <w:numId w:val="6"/>
        </w:numPr>
      </w:pPr>
      <w:bookmarkStart w:id="4" w:name="_h1x1dovuftmx" w:colFirst="0" w:colLast="0"/>
      <w:bookmarkEnd w:id="4"/>
      <w:r>
        <w:lastRenderedPageBreak/>
        <w:t xml:space="preserve">Course Learning Outcomes </w:t>
      </w:r>
    </w:p>
    <w:tbl>
      <w:tblPr>
        <w:tblStyle w:val="a4"/>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57CF57A0" w14:textId="77777777">
        <w:trPr>
          <w:trHeight w:val="3260"/>
        </w:trPr>
        <w:tc>
          <w:tcPr>
            <w:tcW w:w="8964" w:type="dxa"/>
          </w:tcPr>
          <w:p w14:paraId="534E0594" w14:textId="77777777" w:rsidR="00A72390" w:rsidRDefault="009E7BED">
            <w:pPr>
              <w:spacing w:after="60"/>
              <w:jc w:val="both"/>
            </w:pPr>
            <w:r>
              <w:t>Given my goal of emphasizing the above behaviors, by the end of this class, you will be able to…</w:t>
            </w:r>
          </w:p>
          <w:p w14:paraId="7338DC20" w14:textId="77777777" w:rsidR="00A72390" w:rsidRDefault="009E7BED">
            <w:pPr>
              <w:spacing w:after="60"/>
              <w:jc w:val="both"/>
              <w:rPr>
                <w:b/>
              </w:rPr>
            </w:pPr>
            <w:r>
              <w:rPr>
                <w:b/>
              </w:rPr>
              <w:t xml:space="preserve">Connect </w:t>
            </w:r>
          </w:p>
          <w:p w14:paraId="67619DE6" w14:textId="77777777" w:rsidR="00A72390" w:rsidRDefault="009E7BED">
            <w:pPr>
              <w:numPr>
                <w:ilvl w:val="0"/>
                <w:numId w:val="5"/>
              </w:numPr>
              <w:jc w:val="both"/>
            </w:pPr>
            <w:r>
              <w:t>build trust with valuable business connections through interpersonal communication strategies</w:t>
            </w:r>
          </w:p>
          <w:p w14:paraId="26F37E83" w14:textId="77777777" w:rsidR="00A72390" w:rsidRDefault="009E7BED">
            <w:pPr>
              <w:numPr>
                <w:ilvl w:val="0"/>
                <w:numId w:val="5"/>
              </w:numPr>
              <w:spacing w:after="60"/>
              <w:jc w:val="both"/>
            </w:pPr>
            <w:r>
              <w:t>anticipate and incorporate div</w:t>
            </w:r>
            <w:r>
              <w:t xml:space="preserve">erse perspectives into communication. </w:t>
            </w:r>
          </w:p>
          <w:p w14:paraId="66492807" w14:textId="77777777" w:rsidR="00A72390" w:rsidRDefault="009E7BED">
            <w:pPr>
              <w:spacing w:after="60"/>
              <w:jc w:val="both"/>
              <w:rPr>
                <w:b/>
              </w:rPr>
            </w:pPr>
            <w:r>
              <w:rPr>
                <w:b/>
              </w:rPr>
              <w:t>Sell Your Value/Persuade</w:t>
            </w:r>
          </w:p>
          <w:p w14:paraId="1F91767A" w14:textId="77777777" w:rsidR="00A72390" w:rsidRDefault="009E7BED">
            <w:pPr>
              <w:numPr>
                <w:ilvl w:val="0"/>
                <w:numId w:val="2"/>
              </w:numPr>
              <w:jc w:val="both"/>
            </w:pPr>
            <w:r>
              <w:t>express your value to an organization in an interview to influence hiring, promotion, and buy-in</w:t>
            </w:r>
          </w:p>
          <w:p w14:paraId="2A7AE94F" w14:textId="77777777" w:rsidR="00A72390" w:rsidRDefault="009E7BED">
            <w:pPr>
              <w:numPr>
                <w:ilvl w:val="0"/>
                <w:numId w:val="2"/>
              </w:numPr>
              <w:spacing w:after="60"/>
              <w:jc w:val="both"/>
            </w:pPr>
            <w:r>
              <w:t xml:space="preserve">understand the </w:t>
            </w:r>
            <w:hyperlink r:id="rId10">
              <w:r>
                <w:rPr>
                  <w:color w:val="1155CC"/>
                  <w:u w:val="single"/>
                </w:rPr>
                <w:t>four steps</w:t>
              </w:r>
            </w:hyperlink>
            <w:r>
              <w:t xml:space="preserve"> of persuasion and apply them to </w:t>
            </w:r>
            <w:hyperlink r:id="rId11">
              <w:r>
                <w:rPr>
                  <w:color w:val="1155CC"/>
                  <w:u w:val="single"/>
                </w:rPr>
                <w:t>influence</w:t>
              </w:r>
            </w:hyperlink>
            <w:r>
              <w:t xml:space="preserve"> your audience  </w:t>
            </w:r>
          </w:p>
          <w:p w14:paraId="48553E03" w14:textId="77777777" w:rsidR="00A72390" w:rsidRDefault="009E7BED">
            <w:pPr>
              <w:spacing w:after="60"/>
              <w:jc w:val="both"/>
              <w:rPr>
                <w:b/>
              </w:rPr>
            </w:pPr>
            <w:r>
              <w:rPr>
                <w:b/>
              </w:rPr>
              <w:t xml:space="preserve">Present </w:t>
            </w:r>
          </w:p>
          <w:p w14:paraId="0938C96B" w14:textId="77777777" w:rsidR="00A72390" w:rsidRDefault="009E7BED">
            <w:pPr>
              <w:numPr>
                <w:ilvl w:val="0"/>
                <w:numId w:val="7"/>
              </w:numPr>
              <w:jc w:val="both"/>
            </w:pPr>
            <w:r>
              <w:t>apply strategies for smooth, authentic, and professional online presentations in business</w:t>
            </w:r>
          </w:p>
          <w:p w14:paraId="6293B68E" w14:textId="77777777" w:rsidR="00A72390" w:rsidRDefault="009E7BED">
            <w:pPr>
              <w:numPr>
                <w:ilvl w:val="0"/>
                <w:numId w:val="7"/>
              </w:numPr>
              <w:spacing w:after="60"/>
              <w:jc w:val="both"/>
            </w:pPr>
            <w:r>
              <w:t>create credible, engaging messages that appeal to audience interests</w:t>
            </w:r>
          </w:p>
        </w:tc>
      </w:tr>
    </w:tbl>
    <w:p w14:paraId="4861807F" w14:textId="77777777" w:rsidR="00A72390" w:rsidRDefault="00A72390">
      <w:pPr>
        <w:rPr>
          <w:rFonts w:ascii="Times New Roman" w:eastAsia="Times New Roman" w:hAnsi="Times New Roman" w:cs="Times New Roman"/>
          <w:sz w:val="36"/>
          <w:szCs w:val="36"/>
        </w:rPr>
      </w:pPr>
    </w:p>
    <w:p w14:paraId="5F8B6D23" w14:textId="77777777" w:rsidR="00A72390" w:rsidRDefault="009E7BED">
      <w:pPr>
        <w:pStyle w:val="Heading1"/>
        <w:numPr>
          <w:ilvl w:val="0"/>
          <w:numId w:val="6"/>
        </w:numPr>
      </w:pPr>
      <w:r>
        <w:t>Grading</w:t>
      </w:r>
    </w:p>
    <w:p w14:paraId="02E6D23A" w14:textId="77777777" w:rsidR="00A72390" w:rsidRDefault="009E7BED">
      <w:pPr>
        <w:pStyle w:val="Heading2"/>
        <w:numPr>
          <w:ilvl w:val="1"/>
          <w:numId w:val="6"/>
        </w:numPr>
        <w:spacing w:before="0"/>
      </w:pPr>
      <w:r>
        <w:t>Grading Structure</w:t>
      </w:r>
    </w:p>
    <w:tbl>
      <w:tblPr>
        <w:tblStyle w:val="a5"/>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110"/>
      </w:tblGrid>
      <w:tr w:rsidR="00A72390" w14:paraId="6D0A9159" w14:textId="77777777">
        <w:trPr>
          <w:trHeight w:val="2660"/>
        </w:trPr>
        <w:tc>
          <w:tcPr>
            <w:tcW w:w="4815" w:type="dxa"/>
            <w:shd w:val="clear" w:color="auto" w:fill="auto"/>
            <w:tcMar>
              <w:top w:w="100" w:type="dxa"/>
              <w:left w:w="100" w:type="dxa"/>
              <w:bottom w:w="100" w:type="dxa"/>
              <w:right w:w="100" w:type="dxa"/>
            </w:tcMar>
          </w:tcPr>
          <w:p w14:paraId="6C1BADDF" w14:textId="77777777" w:rsidR="00A72390" w:rsidRDefault="009E7BED">
            <w:pPr>
              <w:tabs>
                <w:tab w:val="left" w:pos="900"/>
              </w:tabs>
            </w:pPr>
            <w:r>
              <w:rPr>
                <w:noProof/>
              </w:rPr>
              <w:drawing>
                <wp:inline distT="114300" distB="114300" distL="114300" distR="114300" wp14:anchorId="295BEBBE" wp14:editId="466FA067">
                  <wp:extent cx="2643188" cy="1638300"/>
                  <wp:effectExtent l="0" t="0" r="0" b="0"/>
                  <wp:docPr id="3"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12"/>
                          <a:srcRect/>
                          <a:stretch>
                            <a:fillRect/>
                          </a:stretch>
                        </pic:blipFill>
                        <pic:spPr>
                          <a:xfrm>
                            <a:off x="0" y="0"/>
                            <a:ext cx="2643188" cy="1638300"/>
                          </a:xfrm>
                          <a:prstGeom prst="rect">
                            <a:avLst/>
                          </a:prstGeom>
                          <a:ln/>
                        </pic:spPr>
                      </pic:pic>
                    </a:graphicData>
                  </a:graphic>
                </wp:inline>
              </w:drawing>
            </w:r>
          </w:p>
        </w:tc>
        <w:tc>
          <w:tcPr>
            <w:tcW w:w="4110" w:type="dxa"/>
            <w:shd w:val="clear" w:color="auto" w:fill="auto"/>
            <w:tcMar>
              <w:top w:w="100" w:type="dxa"/>
              <w:left w:w="100" w:type="dxa"/>
              <w:bottom w:w="100" w:type="dxa"/>
              <w:right w:w="100" w:type="dxa"/>
            </w:tcMar>
          </w:tcPr>
          <w:p w14:paraId="7CEA23B2" w14:textId="77777777" w:rsidR="00A72390" w:rsidRDefault="009E7BED">
            <w:pPr>
              <w:keepNext/>
              <w:rPr>
                <w:sz w:val="24"/>
                <w:szCs w:val="24"/>
              </w:rPr>
            </w:pPr>
            <w:r>
              <w:rPr>
                <w:sz w:val="24"/>
                <w:szCs w:val="24"/>
              </w:rPr>
              <w:t>93-100% A     78-79% C+       62-60% D-</w:t>
            </w:r>
          </w:p>
          <w:p w14:paraId="3D6852C9" w14:textId="77777777" w:rsidR="00A72390" w:rsidRDefault="009E7BED">
            <w:pPr>
              <w:keepNext/>
              <w:rPr>
                <w:sz w:val="24"/>
                <w:szCs w:val="24"/>
              </w:rPr>
            </w:pPr>
            <w:r>
              <w:rPr>
                <w:sz w:val="24"/>
                <w:szCs w:val="24"/>
              </w:rPr>
              <w:t>90-92% A-      73-77% C          ↓59% F</w:t>
            </w:r>
          </w:p>
          <w:p w14:paraId="663CAAE1" w14:textId="77777777" w:rsidR="00A72390" w:rsidRDefault="009E7BED">
            <w:pPr>
              <w:keepNext/>
              <w:pBdr>
                <w:top w:val="none" w:sz="0" w:space="0" w:color="000000"/>
                <w:left w:val="none" w:sz="0" w:space="0" w:color="000000"/>
                <w:bottom w:val="none" w:sz="0" w:space="0" w:color="000000"/>
                <w:right w:val="none" w:sz="0" w:space="0" w:color="000000"/>
              </w:pBdr>
              <w:rPr>
                <w:sz w:val="24"/>
                <w:szCs w:val="24"/>
              </w:rPr>
            </w:pPr>
            <w:r>
              <w:rPr>
                <w:sz w:val="24"/>
                <w:szCs w:val="24"/>
              </w:rPr>
              <w:t>88-89% B+     70-72% C-</w:t>
            </w:r>
          </w:p>
          <w:p w14:paraId="40746CFA" w14:textId="77777777" w:rsidR="00A72390" w:rsidRDefault="009E7BED">
            <w:pPr>
              <w:keepNext/>
              <w:pBdr>
                <w:top w:val="none" w:sz="0" w:space="0" w:color="000000"/>
                <w:left w:val="none" w:sz="0" w:space="0" w:color="000000"/>
                <w:bottom w:val="none" w:sz="0" w:space="0" w:color="000000"/>
                <w:right w:val="none" w:sz="0" w:space="0" w:color="000000"/>
              </w:pBdr>
              <w:rPr>
                <w:sz w:val="24"/>
                <w:szCs w:val="24"/>
              </w:rPr>
            </w:pPr>
            <w:r>
              <w:rPr>
                <w:sz w:val="24"/>
                <w:szCs w:val="24"/>
              </w:rPr>
              <w:t>83-87% B       68-69% D+</w:t>
            </w:r>
          </w:p>
          <w:p w14:paraId="4D859A98" w14:textId="77777777" w:rsidR="00A72390" w:rsidRDefault="009E7BED">
            <w:pPr>
              <w:keepNext/>
              <w:pBdr>
                <w:top w:val="none" w:sz="0" w:space="0" w:color="000000"/>
                <w:left w:val="none" w:sz="0" w:space="0" w:color="000000"/>
                <w:bottom w:val="none" w:sz="0" w:space="0" w:color="000000"/>
                <w:right w:val="none" w:sz="0" w:space="0" w:color="000000"/>
              </w:pBdr>
              <w:rPr>
                <w:sz w:val="24"/>
                <w:szCs w:val="24"/>
              </w:rPr>
            </w:pPr>
            <w:r>
              <w:rPr>
                <w:sz w:val="24"/>
                <w:szCs w:val="24"/>
              </w:rPr>
              <w:t>80-82% B-     63-67% D</w:t>
            </w:r>
          </w:p>
          <w:p w14:paraId="1988A904" w14:textId="77777777" w:rsidR="00A72390" w:rsidRDefault="00A72390">
            <w:pPr>
              <w:keepNext/>
              <w:pBdr>
                <w:top w:val="none" w:sz="0" w:space="0" w:color="000000"/>
                <w:left w:val="none" w:sz="0" w:space="0" w:color="000000"/>
                <w:bottom w:val="none" w:sz="0" w:space="0" w:color="000000"/>
                <w:right w:val="none" w:sz="0" w:space="0" w:color="000000"/>
              </w:pBdr>
              <w:rPr>
                <w:sz w:val="24"/>
                <w:szCs w:val="24"/>
              </w:rPr>
            </w:pPr>
          </w:p>
          <w:p w14:paraId="2AC8B23B" w14:textId="77777777" w:rsidR="00A72390" w:rsidRDefault="00A72390">
            <w:pPr>
              <w:keepNext/>
              <w:pBdr>
                <w:top w:val="none" w:sz="0" w:space="0" w:color="000000"/>
                <w:left w:val="none" w:sz="0" w:space="0" w:color="000000"/>
                <w:bottom w:val="none" w:sz="0" w:space="0" w:color="000000"/>
                <w:right w:val="none" w:sz="0" w:space="0" w:color="000000"/>
              </w:pBdr>
              <w:rPr>
                <w:sz w:val="24"/>
                <w:szCs w:val="24"/>
              </w:rPr>
            </w:pPr>
          </w:p>
          <w:p w14:paraId="706A489D" w14:textId="77777777" w:rsidR="00A72390" w:rsidRDefault="00A72390">
            <w:pPr>
              <w:keepNext/>
              <w:pBdr>
                <w:top w:val="none" w:sz="0" w:space="0" w:color="000000"/>
                <w:left w:val="none" w:sz="0" w:space="0" w:color="000000"/>
                <w:bottom w:val="none" w:sz="0" w:space="0" w:color="000000"/>
                <w:right w:val="none" w:sz="0" w:space="0" w:color="000000"/>
              </w:pBdr>
              <w:rPr>
                <w:sz w:val="24"/>
                <w:szCs w:val="24"/>
              </w:rPr>
            </w:pPr>
          </w:p>
          <w:p w14:paraId="38709E4E" w14:textId="77777777" w:rsidR="00A72390" w:rsidRDefault="00A72390">
            <w:pPr>
              <w:keepNext/>
              <w:pBdr>
                <w:top w:val="none" w:sz="0" w:space="0" w:color="000000"/>
                <w:left w:val="none" w:sz="0" w:space="0" w:color="000000"/>
                <w:bottom w:val="none" w:sz="0" w:space="0" w:color="000000"/>
                <w:right w:val="none" w:sz="0" w:space="0" w:color="000000"/>
              </w:pBdr>
              <w:rPr>
                <w:sz w:val="24"/>
                <w:szCs w:val="24"/>
              </w:rPr>
            </w:pPr>
          </w:p>
          <w:p w14:paraId="5375E622" w14:textId="77777777" w:rsidR="00A72390" w:rsidRDefault="00A72390">
            <w:pPr>
              <w:keepNext/>
              <w:pBdr>
                <w:top w:val="none" w:sz="0" w:space="0" w:color="000000"/>
                <w:left w:val="none" w:sz="0" w:space="0" w:color="000000"/>
                <w:bottom w:val="none" w:sz="0" w:space="0" w:color="000000"/>
                <w:right w:val="none" w:sz="0" w:space="0" w:color="000000"/>
              </w:pBdr>
            </w:pPr>
          </w:p>
        </w:tc>
      </w:tr>
    </w:tbl>
    <w:p w14:paraId="4976EBDB" w14:textId="77777777" w:rsidR="00A72390" w:rsidRDefault="009E7BED">
      <w:r>
        <w:br w:type="page"/>
      </w:r>
    </w:p>
    <w:p w14:paraId="72431961" w14:textId="77777777" w:rsidR="00A72390" w:rsidRDefault="00A72390"/>
    <w:p w14:paraId="1331A2DD" w14:textId="77777777" w:rsidR="00A72390" w:rsidRDefault="009E7BED">
      <w:pPr>
        <w:pStyle w:val="Heading1"/>
        <w:numPr>
          <w:ilvl w:val="0"/>
          <w:numId w:val="6"/>
        </w:numPr>
      </w:pPr>
      <w:r>
        <w:t>Coursework</w:t>
      </w:r>
    </w:p>
    <w:p w14:paraId="7241BF3D" w14:textId="77777777" w:rsidR="00A72390" w:rsidRDefault="009E7BED">
      <w:pPr>
        <w:pStyle w:val="Heading2"/>
        <w:numPr>
          <w:ilvl w:val="1"/>
          <w:numId w:val="6"/>
        </w:numPr>
        <w:rPr>
          <w:rFonts w:ascii="Calibri" w:eastAsia="Calibri" w:hAnsi="Calibri" w:cs="Calibri"/>
        </w:rPr>
      </w:pPr>
      <w:bookmarkStart w:id="5" w:name="_vwswk71jadze" w:colFirst="0" w:colLast="0"/>
      <w:bookmarkEnd w:id="5"/>
      <w:r>
        <w:rPr>
          <w:rFonts w:ascii="Calibri" w:eastAsia="Calibri" w:hAnsi="Calibri" w:cs="Calibri"/>
        </w:rPr>
        <w:t>Pro Events</w:t>
      </w:r>
    </w:p>
    <w:tbl>
      <w:tblPr>
        <w:tblStyle w:val="a6"/>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A72390" w14:paraId="6D577BF8" w14:textId="77777777">
        <w:tc>
          <w:tcPr>
            <w:tcW w:w="8850" w:type="dxa"/>
            <w:shd w:val="clear" w:color="auto" w:fill="auto"/>
            <w:tcMar>
              <w:top w:w="100" w:type="dxa"/>
              <w:left w:w="100" w:type="dxa"/>
              <w:bottom w:w="100" w:type="dxa"/>
              <w:right w:w="100" w:type="dxa"/>
            </w:tcMar>
          </w:tcPr>
          <w:p w14:paraId="5F5287E3" w14:textId="77777777" w:rsidR="00A72390" w:rsidRDefault="009E7BED">
            <w:pPr>
              <w:widowControl w:val="0"/>
              <w:shd w:val="clear" w:color="auto" w:fill="FFFFFF"/>
              <w:spacing w:before="240" w:after="240"/>
              <w:jc w:val="both"/>
              <w:rPr>
                <w:sz w:val="24"/>
                <w:szCs w:val="24"/>
              </w:rPr>
            </w:pPr>
            <w:r>
              <w:rPr>
                <w:sz w:val="24"/>
                <w:szCs w:val="24"/>
              </w:rPr>
              <w:t>Several UWSP departments and programs, including the School of Business &amp; Economics, sponsor Smiley Professional Events (or Pro Events).</w:t>
            </w:r>
          </w:p>
          <w:p w14:paraId="7C33EBB3" w14:textId="77777777" w:rsidR="00A72390" w:rsidRDefault="009E7BED">
            <w:pPr>
              <w:widowControl w:val="0"/>
              <w:shd w:val="clear" w:color="auto" w:fill="FFFFFF"/>
              <w:spacing w:before="240" w:after="240"/>
              <w:jc w:val="both"/>
              <w:rPr>
                <w:sz w:val="24"/>
                <w:szCs w:val="24"/>
              </w:rPr>
            </w:pPr>
            <w:r>
              <w:rPr>
                <w:sz w:val="24"/>
                <w:szCs w:val="24"/>
              </w:rPr>
              <w:t>Pro Events connect you to:</w:t>
            </w:r>
          </w:p>
          <w:p w14:paraId="6EE622DE" w14:textId="77777777" w:rsidR="00A72390" w:rsidRDefault="009E7BED">
            <w:pPr>
              <w:widowControl w:val="0"/>
              <w:shd w:val="clear" w:color="auto" w:fill="FFFFFF"/>
              <w:spacing w:before="240" w:after="240"/>
              <w:jc w:val="both"/>
              <w:rPr>
                <w:sz w:val="24"/>
                <w:szCs w:val="24"/>
              </w:rPr>
            </w:pPr>
            <w:r>
              <w:rPr>
                <w:sz w:val="24"/>
                <w:szCs w:val="24"/>
              </w:rPr>
              <w:t>· Campus (e.g., academic coaching, student clubs);</w:t>
            </w:r>
          </w:p>
          <w:p w14:paraId="0DD48DC5" w14:textId="77777777" w:rsidR="00A72390" w:rsidRDefault="009E7BED">
            <w:pPr>
              <w:widowControl w:val="0"/>
              <w:shd w:val="clear" w:color="auto" w:fill="FFFFFF"/>
              <w:spacing w:before="240" w:after="240"/>
              <w:jc w:val="both"/>
              <w:rPr>
                <w:sz w:val="24"/>
                <w:szCs w:val="24"/>
              </w:rPr>
            </w:pPr>
            <w:r>
              <w:rPr>
                <w:sz w:val="24"/>
                <w:szCs w:val="24"/>
              </w:rPr>
              <w:t>· Community (e.g., Rotary, Business Counc</w:t>
            </w:r>
            <w:r>
              <w:rPr>
                <w:sz w:val="24"/>
                <w:szCs w:val="24"/>
              </w:rPr>
              <w:t>il): and</w:t>
            </w:r>
          </w:p>
          <w:p w14:paraId="2E4F806E" w14:textId="77777777" w:rsidR="00A72390" w:rsidRDefault="009E7BED">
            <w:pPr>
              <w:widowControl w:val="0"/>
              <w:shd w:val="clear" w:color="auto" w:fill="FFFFFF"/>
              <w:spacing w:before="240" w:after="240"/>
              <w:jc w:val="both"/>
              <w:rPr>
                <w:sz w:val="24"/>
                <w:szCs w:val="24"/>
              </w:rPr>
            </w:pPr>
            <w:r>
              <w:rPr>
                <w:sz w:val="24"/>
                <w:szCs w:val="24"/>
              </w:rPr>
              <w:t>· Careers (e.g., internships, networking).</w:t>
            </w:r>
          </w:p>
          <w:p w14:paraId="3AFEC8D7" w14:textId="77777777" w:rsidR="00A72390" w:rsidRDefault="009E7BED">
            <w:pPr>
              <w:widowControl w:val="0"/>
              <w:shd w:val="clear" w:color="auto" w:fill="FFFFFF"/>
              <w:spacing w:before="240" w:after="240"/>
              <w:jc w:val="both"/>
              <w:rPr>
                <w:sz w:val="24"/>
                <w:szCs w:val="24"/>
              </w:rPr>
            </w:pPr>
            <w:r>
              <w:rPr>
                <w:sz w:val="24"/>
                <w:szCs w:val="24"/>
              </w:rPr>
              <w:t>As an SBE student, you will be able to choose from a wide variety of speakers, workshops and special events. With over 300 events per year on the Pro Events calendar, you will have significant flexibility</w:t>
            </w:r>
            <w:r>
              <w:rPr>
                <w:sz w:val="24"/>
                <w:szCs w:val="24"/>
              </w:rPr>
              <w:t xml:space="preserve"> in selecting your events. Whatever you choose, Pro Events will help you to make the most out of your time as a student and to prepare for transitioning into a successful career.</w:t>
            </w:r>
          </w:p>
          <w:p w14:paraId="5B6BA184" w14:textId="77777777" w:rsidR="00A72390" w:rsidRDefault="009E7BED">
            <w:pPr>
              <w:widowControl w:val="0"/>
              <w:shd w:val="clear" w:color="auto" w:fill="FFFFFF"/>
              <w:spacing w:before="240" w:after="240"/>
              <w:jc w:val="both"/>
              <w:rPr>
                <w:sz w:val="24"/>
                <w:szCs w:val="24"/>
              </w:rPr>
            </w:pPr>
            <w:r>
              <w:rPr>
                <w:sz w:val="24"/>
                <w:szCs w:val="24"/>
              </w:rPr>
              <w:t>Visit the Pro Events web site (proevents.uwsp.edu) for announcements of upcom</w:t>
            </w:r>
            <w:r>
              <w:rPr>
                <w:sz w:val="24"/>
                <w:szCs w:val="24"/>
              </w:rPr>
              <w:t>ing events. You can also follow us on social media. Facebook: UWSP School of Business &amp; Economics Twitter: @UWSPBusiness</w:t>
            </w:r>
          </w:p>
          <w:p w14:paraId="4B2034BF" w14:textId="77777777" w:rsidR="00A72390" w:rsidRDefault="009E7BED">
            <w:pPr>
              <w:widowControl w:val="0"/>
              <w:shd w:val="clear" w:color="auto" w:fill="FFFFFF"/>
              <w:spacing w:before="240" w:after="240"/>
              <w:jc w:val="both"/>
              <w:rPr>
                <w:sz w:val="24"/>
                <w:szCs w:val="24"/>
              </w:rPr>
            </w:pPr>
            <w:r>
              <w:rPr>
                <w:color w:val="FF0000"/>
                <w:sz w:val="24"/>
                <w:szCs w:val="24"/>
              </w:rPr>
              <w:t xml:space="preserve">For this course, you must attend two official Pro Events. One event must be before the mid-semester cut-off of </w:t>
            </w:r>
            <w:r>
              <w:rPr>
                <w:b/>
                <w:color w:val="FF0000"/>
                <w:sz w:val="24"/>
                <w:szCs w:val="24"/>
              </w:rPr>
              <w:t>____;</w:t>
            </w:r>
            <w:r>
              <w:rPr>
                <w:color w:val="FF0000"/>
                <w:sz w:val="24"/>
                <w:szCs w:val="24"/>
              </w:rPr>
              <w:t xml:space="preserve"> a second event mus</w:t>
            </w:r>
            <w:r>
              <w:rPr>
                <w:color w:val="FF0000"/>
                <w:sz w:val="24"/>
                <w:szCs w:val="24"/>
              </w:rPr>
              <w:t xml:space="preserve">t be before the end-of-semester cut-off of </w:t>
            </w:r>
            <w:r>
              <w:rPr>
                <w:b/>
                <w:color w:val="FF0000"/>
                <w:sz w:val="24"/>
                <w:szCs w:val="24"/>
              </w:rPr>
              <w:t>_____</w:t>
            </w:r>
            <w:r>
              <w:rPr>
                <w:sz w:val="24"/>
                <w:szCs w:val="24"/>
              </w:rPr>
              <w:t xml:space="preserve">. If you go to extra events before the mid-semester cut-off, those credits will carry over into the second half of the semester. </w:t>
            </w:r>
          </w:p>
          <w:p w14:paraId="2D945D87" w14:textId="77777777" w:rsidR="00A72390" w:rsidRDefault="009E7BED">
            <w:pPr>
              <w:widowControl w:val="0"/>
              <w:shd w:val="clear" w:color="auto" w:fill="FFFFFF"/>
              <w:spacing w:before="240" w:after="240"/>
              <w:jc w:val="both"/>
              <w:rPr>
                <w:sz w:val="24"/>
                <w:szCs w:val="24"/>
              </w:rPr>
            </w:pPr>
            <w:r>
              <w:rPr>
                <w:sz w:val="24"/>
                <w:szCs w:val="24"/>
              </w:rPr>
              <w:t>You may earn Pro Events credits in many different ways:</w:t>
            </w:r>
          </w:p>
          <w:p w14:paraId="2FD4CB3A" w14:textId="77777777" w:rsidR="00A72390" w:rsidRDefault="009E7BED">
            <w:pPr>
              <w:widowControl w:val="0"/>
              <w:shd w:val="clear" w:color="auto" w:fill="FFFFFF"/>
              <w:spacing w:before="240" w:after="240"/>
              <w:jc w:val="both"/>
              <w:rPr>
                <w:sz w:val="24"/>
                <w:szCs w:val="24"/>
              </w:rPr>
            </w:pPr>
            <w:r>
              <w:rPr>
                <w:sz w:val="24"/>
                <w:szCs w:val="24"/>
              </w:rPr>
              <w:t>· “Attending” live Zoo</w:t>
            </w:r>
            <w:r>
              <w:rPr>
                <w:sz w:val="24"/>
                <w:szCs w:val="24"/>
              </w:rPr>
              <w:t>m events; attendance will be taken at the end of the event.</w:t>
            </w:r>
          </w:p>
          <w:p w14:paraId="118538FB" w14:textId="77777777" w:rsidR="00A72390" w:rsidRDefault="009E7BED">
            <w:pPr>
              <w:widowControl w:val="0"/>
              <w:shd w:val="clear" w:color="auto" w:fill="FFFFFF"/>
              <w:spacing w:before="240" w:after="240"/>
              <w:jc w:val="both"/>
              <w:rPr>
                <w:sz w:val="24"/>
                <w:szCs w:val="24"/>
              </w:rPr>
            </w:pPr>
            <w:r>
              <w:rPr>
                <w:sz w:val="24"/>
                <w:szCs w:val="24"/>
              </w:rPr>
              <w:t>· Attending in-person events.</w:t>
            </w:r>
          </w:p>
          <w:p w14:paraId="3EE79E8B" w14:textId="77777777" w:rsidR="00A72390" w:rsidRDefault="009E7BED">
            <w:pPr>
              <w:widowControl w:val="0"/>
              <w:shd w:val="clear" w:color="auto" w:fill="FFFFFF"/>
              <w:spacing w:before="240" w:after="240"/>
              <w:jc w:val="both"/>
              <w:rPr>
                <w:sz w:val="24"/>
                <w:szCs w:val="24"/>
              </w:rPr>
            </w:pPr>
            <w:r>
              <w:rPr>
                <w:sz w:val="24"/>
                <w:szCs w:val="24"/>
              </w:rPr>
              <w:t>· For maximum schedule flexibility, check out the Anderson Center Canvas page for details on Create Your Own events and Lunch with a Leader.</w:t>
            </w:r>
          </w:p>
          <w:p w14:paraId="56BA1E86" w14:textId="77777777" w:rsidR="00A72390" w:rsidRDefault="009E7BED">
            <w:pPr>
              <w:widowControl w:val="0"/>
              <w:shd w:val="clear" w:color="auto" w:fill="FFFFFF"/>
              <w:spacing w:before="240" w:after="240"/>
              <w:jc w:val="both"/>
              <w:rPr>
                <w:sz w:val="24"/>
                <w:szCs w:val="24"/>
              </w:rPr>
            </w:pPr>
            <w:r>
              <w:rPr>
                <w:sz w:val="24"/>
                <w:szCs w:val="24"/>
              </w:rPr>
              <w:t xml:space="preserve">Starting Fall 2022, only </w:t>
            </w:r>
            <w:r>
              <w:rPr>
                <w:sz w:val="24"/>
                <w:szCs w:val="24"/>
              </w:rPr>
              <w:t xml:space="preserve">students registered for 100% online or branch-campus classes will have access to Pro Events recordings. The number of videos available will be pro-rated based on the number of such courses in which you are enrolled. Video events must be completed one week </w:t>
            </w:r>
            <w:r>
              <w:rPr>
                <w:sz w:val="24"/>
                <w:szCs w:val="24"/>
              </w:rPr>
              <w:t xml:space="preserve">before the general Pro Events cut-offs. </w:t>
            </w:r>
          </w:p>
          <w:p w14:paraId="3D31E754" w14:textId="77777777" w:rsidR="00A72390" w:rsidRDefault="009E7BED">
            <w:pPr>
              <w:widowControl w:val="0"/>
              <w:shd w:val="clear" w:color="auto" w:fill="FFFFFF"/>
              <w:spacing w:before="240" w:after="240"/>
              <w:jc w:val="both"/>
              <w:rPr>
                <w:sz w:val="24"/>
                <w:szCs w:val="24"/>
              </w:rPr>
            </w:pPr>
            <w:r>
              <w:rPr>
                <w:sz w:val="24"/>
                <w:szCs w:val="24"/>
              </w:rPr>
              <w:lastRenderedPageBreak/>
              <w:t>Attendance at Pro Events will be confirmed with automatic emails to you and updated on the Pro Events web site. Please allow a week for confirmation of attendance at events held outside the SBE, such as Career Servi</w:t>
            </w:r>
            <w:r>
              <w:rPr>
                <w:sz w:val="24"/>
                <w:szCs w:val="24"/>
              </w:rPr>
              <w:t>ces events. If you have a question about Pro Events attendance, please email proevents@uwsp.edu .</w:t>
            </w:r>
          </w:p>
          <w:p w14:paraId="3E844387" w14:textId="77777777" w:rsidR="00A72390" w:rsidRDefault="009E7BED">
            <w:pPr>
              <w:widowControl w:val="0"/>
              <w:shd w:val="clear" w:color="auto" w:fill="FFFFFF"/>
              <w:spacing w:before="240" w:after="240"/>
              <w:jc w:val="both"/>
              <w:rPr>
                <w:sz w:val="24"/>
                <w:szCs w:val="24"/>
              </w:rPr>
            </w:pPr>
            <w:r>
              <w:rPr>
                <w:sz w:val="24"/>
                <w:szCs w:val="24"/>
              </w:rPr>
              <w:t>If you have multiple courses or affiliations with Pro Events requirements, it is your responsibility to make sure you have attended enough events for each cou</w:t>
            </w:r>
            <w:r>
              <w:rPr>
                <w:sz w:val="24"/>
                <w:szCs w:val="24"/>
              </w:rPr>
              <w:t>rse/affiliation. If you have not attended enough events to cover all of your requirements, your attendance will be allocated to your courses in alpha-numeric order followed by any other affiliations.</w:t>
            </w:r>
          </w:p>
          <w:p w14:paraId="731F6CDA" w14:textId="77777777" w:rsidR="00A72390" w:rsidRDefault="009E7BED">
            <w:pPr>
              <w:widowControl w:val="0"/>
              <w:shd w:val="clear" w:color="auto" w:fill="FFFFFF"/>
              <w:spacing w:before="240" w:after="240"/>
              <w:jc w:val="both"/>
              <w:rPr>
                <w:sz w:val="24"/>
                <w:szCs w:val="24"/>
              </w:rPr>
            </w:pPr>
            <w:r>
              <w:rPr>
                <w:sz w:val="24"/>
                <w:szCs w:val="24"/>
              </w:rPr>
              <w:t>After the mid-semester cut-off and the end of this semes</w:t>
            </w:r>
            <w:r>
              <w:rPr>
                <w:sz w:val="24"/>
                <w:szCs w:val="24"/>
              </w:rPr>
              <w:t>ter’s events, I will receive reports confirming your attendance. You do not need to do anything else.</w:t>
            </w:r>
          </w:p>
          <w:p w14:paraId="179FED18" w14:textId="77777777" w:rsidR="00A72390" w:rsidRDefault="009E7BED">
            <w:pPr>
              <w:widowControl w:val="0"/>
              <w:shd w:val="clear" w:color="auto" w:fill="FFFFFF"/>
              <w:spacing w:before="240" w:after="240"/>
              <w:jc w:val="both"/>
              <w:rPr>
                <w:sz w:val="24"/>
                <w:szCs w:val="24"/>
              </w:rPr>
            </w:pPr>
            <w:r>
              <w:rPr>
                <w:sz w:val="24"/>
                <w:szCs w:val="24"/>
              </w:rPr>
              <w:t>Hint: if you are having trouble finding events that fit your schedule, check out the “Create Your Own Event” option on the Anderson Center Canvas page. Yo</w:t>
            </w:r>
            <w:r>
              <w:rPr>
                <w:sz w:val="24"/>
                <w:szCs w:val="24"/>
              </w:rPr>
              <w:t>u can meet with an expert from Career Advising, Financial Coaching or Academic Coaching. We also highly recommend our “Lunch with a Leader” program which allows you to set up a lunch (virtual or in-person) with a business expert to learn more about their i</w:t>
            </w:r>
            <w:r>
              <w:rPr>
                <w:sz w:val="24"/>
                <w:szCs w:val="24"/>
              </w:rPr>
              <w:t>ndustry, company and profession.</w:t>
            </w:r>
          </w:p>
        </w:tc>
      </w:tr>
    </w:tbl>
    <w:p w14:paraId="503BD985" w14:textId="77777777" w:rsidR="00A72390" w:rsidRDefault="00A72390">
      <w:pPr>
        <w:tabs>
          <w:tab w:val="left" w:pos="900"/>
        </w:tabs>
        <w:rPr>
          <w:sz w:val="24"/>
          <w:szCs w:val="24"/>
        </w:rPr>
      </w:pPr>
    </w:p>
    <w:p w14:paraId="2314AA0C" w14:textId="77777777" w:rsidR="00A72390" w:rsidRDefault="009E7BED">
      <w:pPr>
        <w:pStyle w:val="Heading2"/>
        <w:numPr>
          <w:ilvl w:val="1"/>
          <w:numId w:val="6"/>
        </w:numPr>
        <w:spacing w:before="0"/>
        <w:rPr>
          <w:rFonts w:ascii="Calibri" w:eastAsia="Calibri" w:hAnsi="Calibri" w:cs="Calibri"/>
        </w:rPr>
      </w:pPr>
      <w:bookmarkStart w:id="6" w:name="_43kxoz4zt1ch" w:colFirst="0" w:colLast="0"/>
      <w:bookmarkEnd w:id="6"/>
      <w:r>
        <w:rPr>
          <w:rFonts w:ascii="Calibri" w:eastAsia="Calibri" w:hAnsi="Calibri" w:cs="Calibri"/>
        </w:rPr>
        <w:t>Assignment Group: Self Assessments (20% of grade)</w:t>
      </w:r>
    </w:p>
    <w:tbl>
      <w:tblPr>
        <w:tblStyle w:val="a7"/>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39319E7A" w14:textId="77777777">
        <w:trPr>
          <w:trHeight w:val="1365"/>
        </w:trPr>
        <w:tc>
          <w:tcPr>
            <w:tcW w:w="8964" w:type="dxa"/>
          </w:tcPr>
          <w:p w14:paraId="6ACC42F5" w14:textId="77777777" w:rsidR="00A72390" w:rsidRDefault="009E7BED">
            <w:pPr>
              <w:tabs>
                <w:tab w:val="left" w:pos="900"/>
              </w:tabs>
            </w:pPr>
            <w:r>
              <w:t xml:space="preserve">Impactful communicators know themselves. They’re aware of their own prejudices, thinking styles, strengths, and potential contributions and can articulate these things about themselves to fellow business contacts. Assignments in this category are designed </w:t>
            </w:r>
            <w:r>
              <w:t xml:space="preserve">to build your self-awareness and include surveys, reflections, and personality assessments. </w:t>
            </w:r>
          </w:p>
        </w:tc>
      </w:tr>
    </w:tbl>
    <w:p w14:paraId="3F997055" w14:textId="77777777" w:rsidR="00A72390" w:rsidRDefault="00A72390">
      <w:pPr>
        <w:tabs>
          <w:tab w:val="left" w:pos="900"/>
        </w:tabs>
        <w:rPr>
          <w:sz w:val="24"/>
          <w:szCs w:val="24"/>
        </w:rPr>
      </w:pPr>
    </w:p>
    <w:p w14:paraId="7C7747B0" w14:textId="77777777" w:rsidR="00A72390" w:rsidRDefault="009E7BED">
      <w:pPr>
        <w:pStyle w:val="Heading2"/>
        <w:numPr>
          <w:ilvl w:val="1"/>
          <w:numId w:val="6"/>
        </w:numPr>
        <w:rPr>
          <w:rFonts w:ascii="Calibri" w:eastAsia="Calibri" w:hAnsi="Calibri" w:cs="Calibri"/>
        </w:rPr>
      </w:pPr>
      <w:bookmarkStart w:id="7" w:name="_wn5hooncomtd" w:colFirst="0" w:colLast="0"/>
      <w:bookmarkEnd w:id="7"/>
      <w:r>
        <w:rPr>
          <w:rFonts w:ascii="Calibri" w:eastAsia="Calibri" w:hAnsi="Calibri" w:cs="Calibri"/>
        </w:rPr>
        <w:t>Assignment Group: Presentations (25% of grade)</w:t>
      </w:r>
    </w:p>
    <w:tbl>
      <w:tblPr>
        <w:tblStyle w:val="a8"/>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729A6C9A" w14:textId="77777777">
        <w:tc>
          <w:tcPr>
            <w:tcW w:w="8964" w:type="dxa"/>
          </w:tcPr>
          <w:p w14:paraId="070630D7" w14:textId="77777777" w:rsidR="00A72390" w:rsidRDefault="009E7BED">
            <w:pPr>
              <w:tabs>
                <w:tab w:val="left" w:pos="900"/>
              </w:tabs>
            </w:pPr>
            <w:r>
              <w:t xml:space="preserve">A new </w:t>
            </w:r>
            <w:hyperlink r:id="rId13">
              <w:r>
                <w:rPr>
                  <w:color w:val="1155CC"/>
                  <w:u w:val="single"/>
                </w:rPr>
                <w:t>Linked In study</w:t>
              </w:r>
            </w:hyperlink>
            <w:r>
              <w:t xml:space="preserve"> indicates that employers value oral presentation s</w:t>
            </w:r>
            <w:r>
              <w:t>kills more than all other skills. The best way to build your oral presentation skills is frequent presentations that challenge you to leave your comfort zone and practice managing your anxiety. Additionally, our business contacts are telling us that online</w:t>
            </w:r>
            <w:r>
              <w:t xml:space="preserve"> presentations won’t go away even when (or if…) Covid 19 protocols do. </w:t>
            </w:r>
          </w:p>
          <w:p w14:paraId="138C4C00" w14:textId="77777777" w:rsidR="00A72390" w:rsidRDefault="00A72390">
            <w:pPr>
              <w:tabs>
                <w:tab w:val="left" w:pos="900"/>
              </w:tabs>
            </w:pPr>
          </w:p>
          <w:p w14:paraId="084C4FB4" w14:textId="77777777" w:rsidR="00A72390" w:rsidRDefault="009E7BED">
            <w:pPr>
              <w:tabs>
                <w:tab w:val="left" w:pos="900"/>
              </w:tabs>
            </w:pPr>
            <w:r>
              <w:t xml:space="preserve">You’ll deliver four oral presentations this semester. They will be recorded via Zoom, Canvas’ recording app, Kaltura, or an app on your phone and submitted via Canvas.  </w:t>
            </w:r>
          </w:p>
        </w:tc>
      </w:tr>
    </w:tbl>
    <w:p w14:paraId="29454356" w14:textId="77777777" w:rsidR="00A72390" w:rsidRDefault="00A72390">
      <w:pPr>
        <w:pStyle w:val="Heading2"/>
        <w:spacing w:before="0"/>
        <w:ind w:left="0" w:firstLine="0"/>
        <w:rPr>
          <w:rFonts w:ascii="Calibri" w:eastAsia="Calibri" w:hAnsi="Calibri" w:cs="Calibri"/>
        </w:rPr>
      </w:pPr>
      <w:bookmarkStart w:id="8" w:name="_igxn6suwdvak" w:colFirst="0" w:colLast="0"/>
      <w:bookmarkEnd w:id="8"/>
    </w:p>
    <w:p w14:paraId="61350997" w14:textId="77777777" w:rsidR="00A72390" w:rsidRDefault="009E7BED">
      <w:pPr>
        <w:pStyle w:val="Heading2"/>
        <w:numPr>
          <w:ilvl w:val="1"/>
          <w:numId w:val="6"/>
        </w:numPr>
        <w:spacing w:before="0"/>
        <w:rPr>
          <w:rFonts w:ascii="Calibri" w:eastAsia="Calibri" w:hAnsi="Calibri" w:cs="Calibri"/>
        </w:rPr>
      </w:pPr>
      <w:bookmarkStart w:id="9" w:name="_7ji081dljhx2" w:colFirst="0" w:colLast="0"/>
      <w:bookmarkEnd w:id="9"/>
      <w:r>
        <w:rPr>
          <w:rFonts w:ascii="Calibri" w:eastAsia="Calibri" w:hAnsi="Calibri" w:cs="Calibri"/>
        </w:rPr>
        <w:t>Assignment Group: Reading Responses (15% of grade)</w:t>
      </w:r>
    </w:p>
    <w:tbl>
      <w:tblPr>
        <w:tblStyle w:val="a9"/>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3CE85F2F" w14:textId="77777777">
        <w:tc>
          <w:tcPr>
            <w:tcW w:w="8964" w:type="dxa"/>
          </w:tcPr>
          <w:p w14:paraId="4ABDCD68" w14:textId="77777777" w:rsidR="00A72390" w:rsidRDefault="009E7BED">
            <w:pPr>
              <w:tabs>
                <w:tab w:val="left" w:pos="900"/>
              </w:tabs>
            </w:pPr>
            <w:r>
              <w:t>This class gives you access to th</w:t>
            </w:r>
            <w:r>
              <w:t xml:space="preserve">e insights of the most admired, influential thinkers in the business world. They have brilliant ideas to share about sought-after skills like </w:t>
            </w:r>
            <w:r>
              <w:lastRenderedPageBreak/>
              <w:t xml:space="preserve">persuasion, authenticity, storytelling, emotional intelligence, and empathy. That’s why I assign readings.  </w:t>
            </w:r>
          </w:p>
          <w:p w14:paraId="6E7DE9AB" w14:textId="77777777" w:rsidR="00A72390" w:rsidRDefault="00A72390">
            <w:pPr>
              <w:tabs>
                <w:tab w:val="left" w:pos="900"/>
              </w:tabs>
            </w:pPr>
          </w:p>
          <w:p w14:paraId="6F7A2B9F" w14:textId="77777777" w:rsidR="00A72390" w:rsidRDefault="009E7BED">
            <w:pPr>
              <w:tabs>
                <w:tab w:val="left" w:pos="900"/>
              </w:tabs>
            </w:pPr>
            <w:r>
              <w:t>You’</w:t>
            </w:r>
            <w:r>
              <w:t xml:space="preserve">ll gain the most from the readings by connecting your own experiences, ideas, insights, needs, and goals to what you’re reading through reading responses, which will be graded using </w:t>
            </w:r>
            <w:hyperlink r:id="rId14">
              <w:r>
                <w:rPr>
                  <w:color w:val="1155CC"/>
                  <w:u w:val="single"/>
                </w:rPr>
                <w:t>this rubric.</w:t>
              </w:r>
            </w:hyperlink>
            <w:r>
              <w:t xml:space="preserve"> The rubric pushes you out of the lower levels of thinking which involve simple memorization and regurgitation and won’t stick with you. Research shows you won't retain concepts tha</w:t>
            </w:r>
            <w:r>
              <w:t>t you’ve merely memorized and regurgitated, which means you’ll be wasting the money you paid for this semester. However, if you engage with the material in more complex ways such as application, analysis, and evaluation you will retain it, make it your own</w:t>
            </w:r>
            <w:r>
              <w:t>, and be able to use it as a tool to help you land your dream career.</w:t>
            </w:r>
          </w:p>
        </w:tc>
      </w:tr>
    </w:tbl>
    <w:p w14:paraId="3998619F" w14:textId="77777777" w:rsidR="00A72390" w:rsidRDefault="00A72390">
      <w:pPr>
        <w:pStyle w:val="Heading2"/>
        <w:spacing w:before="0"/>
        <w:ind w:left="0" w:firstLine="0"/>
        <w:rPr>
          <w:rFonts w:ascii="Calibri" w:eastAsia="Calibri" w:hAnsi="Calibri" w:cs="Calibri"/>
        </w:rPr>
      </w:pPr>
      <w:bookmarkStart w:id="10" w:name="_3dzbeoz6pbwb" w:colFirst="0" w:colLast="0"/>
      <w:bookmarkEnd w:id="10"/>
    </w:p>
    <w:p w14:paraId="25E5D88C" w14:textId="77777777" w:rsidR="00A72390" w:rsidRDefault="009E7BED">
      <w:pPr>
        <w:pStyle w:val="Heading2"/>
        <w:numPr>
          <w:ilvl w:val="1"/>
          <w:numId w:val="6"/>
        </w:numPr>
        <w:spacing w:before="0"/>
        <w:rPr>
          <w:rFonts w:ascii="Calibri" w:eastAsia="Calibri" w:hAnsi="Calibri" w:cs="Calibri"/>
        </w:rPr>
      </w:pPr>
      <w:bookmarkStart w:id="11" w:name="_6s66u1aadqbf" w:colFirst="0" w:colLast="0"/>
      <w:bookmarkEnd w:id="11"/>
      <w:r>
        <w:rPr>
          <w:rFonts w:ascii="Calibri" w:eastAsia="Calibri" w:hAnsi="Calibri" w:cs="Calibri"/>
        </w:rPr>
        <w:t xml:space="preserve">Assignment Group: Discussion/Participation (20% of grade) </w:t>
      </w:r>
    </w:p>
    <w:tbl>
      <w:tblPr>
        <w:tblStyle w:val="aa"/>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1FB9E786" w14:textId="77777777">
        <w:tc>
          <w:tcPr>
            <w:tcW w:w="8964" w:type="dxa"/>
          </w:tcPr>
          <w:p w14:paraId="7DB126C8" w14:textId="77777777" w:rsidR="00A72390" w:rsidRDefault="009E7BED">
            <w:pPr>
              <w:tabs>
                <w:tab w:val="left" w:pos="900"/>
              </w:tabs>
            </w:pPr>
            <w:r>
              <w:t>Learning is a community process. You have powerful ideas to contribute to our group, and you have powerful insights to learn from your classmates who also, by the way, are your future business partners, clients, and collaborators. Therefore, you’ll practic</w:t>
            </w:r>
            <w:r>
              <w:t xml:space="preserve">e sharing your thoughtful insights in this class in online discussion boards. Though not required, you are encouraged to use video discussion posts to practice sharing your ideas in-person to a video camera- a sought after skill in business. </w:t>
            </w:r>
          </w:p>
          <w:p w14:paraId="1029C224" w14:textId="77777777" w:rsidR="00A72390" w:rsidRDefault="00A72390">
            <w:pPr>
              <w:tabs>
                <w:tab w:val="left" w:pos="900"/>
              </w:tabs>
            </w:pPr>
          </w:p>
          <w:p w14:paraId="2D099FBE" w14:textId="77777777" w:rsidR="00A72390" w:rsidRDefault="009E7BED">
            <w:pPr>
              <w:tabs>
                <w:tab w:val="left" w:pos="900"/>
              </w:tabs>
            </w:pPr>
            <w:r>
              <w:t>Original dis</w:t>
            </w:r>
            <w:r>
              <w:t>cussion posts will be graded for</w:t>
            </w:r>
          </w:p>
          <w:p w14:paraId="65420C7F" w14:textId="77777777" w:rsidR="00A72390" w:rsidRDefault="009E7BED">
            <w:pPr>
              <w:numPr>
                <w:ilvl w:val="0"/>
                <w:numId w:val="3"/>
              </w:numPr>
              <w:tabs>
                <w:tab w:val="left" w:pos="900"/>
              </w:tabs>
            </w:pPr>
            <w:r>
              <w:t>Development</w:t>
            </w:r>
          </w:p>
          <w:p w14:paraId="31E64120" w14:textId="77777777" w:rsidR="00A72390" w:rsidRDefault="009E7BED">
            <w:pPr>
              <w:numPr>
                <w:ilvl w:val="0"/>
                <w:numId w:val="3"/>
              </w:numPr>
              <w:tabs>
                <w:tab w:val="left" w:pos="900"/>
              </w:tabs>
            </w:pPr>
            <w:r>
              <w:t>Application of course concepts</w:t>
            </w:r>
          </w:p>
          <w:p w14:paraId="695D2C0F" w14:textId="77777777" w:rsidR="00A72390" w:rsidRDefault="009E7BED">
            <w:pPr>
              <w:numPr>
                <w:ilvl w:val="0"/>
                <w:numId w:val="3"/>
              </w:numPr>
              <w:tabs>
                <w:tab w:val="left" w:pos="900"/>
              </w:tabs>
            </w:pPr>
            <w:r>
              <w:t xml:space="preserve">Engagement with others (response) </w:t>
            </w:r>
          </w:p>
          <w:p w14:paraId="36702792" w14:textId="77777777" w:rsidR="00A72390" w:rsidRDefault="00A72390">
            <w:pPr>
              <w:tabs>
                <w:tab w:val="left" w:pos="900"/>
              </w:tabs>
            </w:pPr>
          </w:p>
          <w:p w14:paraId="07AAEA01" w14:textId="77777777" w:rsidR="00A72390" w:rsidRDefault="009E7BED">
            <w:pPr>
              <w:tabs>
                <w:tab w:val="left" w:pos="900"/>
              </w:tabs>
              <w:rPr>
                <w:i/>
              </w:rPr>
            </w:pPr>
            <w:r>
              <w:rPr>
                <w:i/>
              </w:rPr>
              <w:t>Discussion Responses</w:t>
            </w:r>
          </w:p>
          <w:p w14:paraId="42DFD34C" w14:textId="77777777" w:rsidR="00A72390" w:rsidRDefault="009E7BED">
            <w:pPr>
              <w:tabs>
                <w:tab w:val="left" w:pos="900"/>
              </w:tabs>
            </w:pPr>
            <w:r>
              <w:t>You’re encouraged to respond with video, but written text is okay. Unless noted,  you’re required to respond to at least on</w:t>
            </w:r>
            <w:r>
              <w:t xml:space="preserve">e of your classmates for each discussion board. Your response should deepen your classmate’s insights, contribute a new perspective, share an application from your personal life, and/or provide some kind of constructive challenge to his/her perspective.  </w:t>
            </w:r>
          </w:p>
        </w:tc>
      </w:tr>
    </w:tbl>
    <w:p w14:paraId="39F3BC26" w14:textId="77777777" w:rsidR="00A72390" w:rsidRDefault="009E7BED">
      <w:pPr>
        <w:pStyle w:val="Heading2"/>
        <w:numPr>
          <w:ilvl w:val="1"/>
          <w:numId w:val="6"/>
        </w:numPr>
        <w:rPr>
          <w:rFonts w:ascii="Calibri" w:eastAsia="Calibri" w:hAnsi="Calibri" w:cs="Calibri"/>
        </w:rPr>
      </w:pPr>
      <w:r>
        <w:rPr>
          <w:rFonts w:ascii="Calibri" w:eastAsia="Calibri" w:hAnsi="Calibri" w:cs="Calibri"/>
        </w:rPr>
        <w:t xml:space="preserve">Application Projects (20% of grade) </w:t>
      </w:r>
    </w:p>
    <w:tbl>
      <w:tblPr>
        <w:tblStyle w:val="ab"/>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tblGrid>
      <w:tr w:rsidR="00A72390" w14:paraId="654A6228" w14:textId="77777777">
        <w:tc>
          <w:tcPr>
            <w:tcW w:w="8955" w:type="dxa"/>
          </w:tcPr>
          <w:p w14:paraId="5685C7AF" w14:textId="77777777" w:rsidR="00A72390" w:rsidRDefault="009E7BED">
            <w:r>
              <w:t>The disadvantage of an online class is that we don’t get to do projects together in the classroom. However, that doesn’t mean you can’t take “field trips” and do experimental projects on your own in whatever setting yo</w:t>
            </w:r>
            <w:r>
              <w:t>u’re taking the course. Since, I can’t physically see whether you’ve accomplished each project, you’ll be graded for this area on the reflections on each project that you submit to Canvas. Again, because the goal here is to take risks, experiment, and lear</w:t>
            </w:r>
            <w:r>
              <w:t xml:space="preserve">n about yourself in the process, these projects will be graded on a pass/fail basis. </w:t>
            </w:r>
          </w:p>
        </w:tc>
      </w:tr>
    </w:tbl>
    <w:p w14:paraId="71A493B6" w14:textId="77777777" w:rsidR="00A72390" w:rsidRDefault="009E7BED">
      <w:pPr>
        <w:pStyle w:val="Heading1"/>
        <w:ind w:left="0" w:firstLine="0"/>
      </w:pPr>
      <w:r>
        <w:br w:type="page"/>
      </w:r>
    </w:p>
    <w:p w14:paraId="51C39EA2" w14:textId="77777777" w:rsidR="00A72390" w:rsidRDefault="009E7BED">
      <w:pPr>
        <w:pStyle w:val="Heading1"/>
        <w:ind w:left="0" w:firstLine="0"/>
      </w:pPr>
      <w:r>
        <w:lastRenderedPageBreak/>
        <w:t>Course Policies</w:t>
      </w:r>
    </w:p>
    <w:p w14:paraId="58A98DE2" w14:textId="77777777" w:rsidR="00A72390" w:rsidRDefault="009E7BED">
      <w:pPr>
        <w:pStyle w:val="Heading2"/>
        <w:numPr>
          <w:ilvl w:val="1"/>
          <w:numId w:val="6"/>
        </w:numPr>
        <w:rPr>
          <w:rFonts w:ascii="Calibri" w:eastAsia="Calibri" w:hAnsi="Calibri" w:cs="Calibri"/>
        </w:rPr>
      </w:pPr>
      <w:bookmarkStart w:id="12" w:name="_2gzhtvkglfrk" w:colFirst="0" w:colLast="0"/>
      <w:bookmarkEnd w:id="12"/>
      <w:r>
        <w:rPr>
          <w:rFonts w:ascii="Calibri" w:eastAsia="Calibri" w:hAnsi="Calibri" w:cs="Calibri"/>
        </w:rPr>
        <w:t>Late Work</w:t>
      </w:r>
    </w:p>
    <w:tbl>
      <w:tblPr>
        <w:tblStyle w:val="ac"/>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tblGrid>
      <w:tr w:rsidR="00A72390" w14:paraId="56619394" w14:textId="77777777">
        <w:tc>
          <w:tcPr>
            <w:tcW w:w="8955" w:type="dxa"/>
          </w:tcPr>
          <w:p w14:paraId="7BB4F98E" w14:textId="77777777" w:rsidR="00A72390" w:rsidRDefault="009E7BED">
            <w:pPr>
              <w:keepNext/>
            </w:pPr>
            <w:r>
              <w:t xml:space="preserve">In the marketplace, completing written and oral reports on time makes you a valuable contributor, and it helps convince your organization you’re indispensable. On-time submission can increase your odds for promotions and leadership roles because it builds </w:t>
            </w:r>
            <w:r>
              <w:t>trust, a crucial human need.</w:t>
            </w:r>
          </w:p>
          <w:p w14:paraId="68D6B059" w14:textId="77777777" w:rsidR="00A72390" w:rsidRDefault="00A72390">
            <w:pPr>
              <w:keepNext/>
            </w:pPr>
          </w:p>
          <w:p w14:paraId="0F38389A" w14:textId="77777777" w:rsidR="00A72390" w:rsidRDefault="009E7BED">
            <w:pPr>
              <w:keepNext/>
            </w:pPr>
            <w:r>
              <w:t xml:space="preserve">I’m strict about deadlines because I want those making decisions about </w:t>
            </w:r>
            <w:r>
              <w:rPr>
                <w:i/>
              </w:rPr>
              <w:t>your</w:t>
            </w:r>
            <w:r>
              <w:t xml:space="preserve"> career to trust you. Therefore, practice submitting on time now. Late submissions will be graded this way: </w:t>
            </w:r>
          </w:p>
          <w:p w14:paraId="7AE01F7E" w14:textId="77777777" w:rsidR="00A72390" w:rsidRDefault="00A72390">
            <w:pPr>
              <w:keepNext/>
            </w:pPr>
          </w:p>
          <w:p w14:paraId="032523C8" w14:textId="77777777" w:rsidR="00A72390" w:rsidRDefault="009E7BED">
            <w:pPr>
              <w:keepNext/>
              <w:numPr>
                <w:ilvl w:val="0"/>
                <w:numId w:val="1"/>
              </w:numPr>
            </w:pPr>
            <w:r>
              <w:t>Submitted up to 1 day (10 mins to 24 hour</w:t>
            </w:r>
            <w:r>
              <w:t>s) after deadline= 5% reduction in grade</w:t>
            </w:r>
          </w:p>
          <w:p w14:paraId="42DA5EA3" w14:textId="77777777" w:rsidR="00A72390" w:rsidRDefault="009E7BED">
            <w:pPr>
              <w:keepNext/>
              <w:numPr>
                <w:ilvl w:val="0"/>
                <w:numId w:val="1"/>
              </w:numPr>
            </w:pPr>
            <w:r>
              <w:t>Submitted 2 days (25-48 hours) after deadline= 10% reduction in grade</w:t>
            </w:r>
          </w:p>
          <w:p w14:paraId="4E6D68C9" w14:textId="77777777" w:rsidR="00A72390" w:rsidRDefault="009E7BED">
            <w:pPr>
              <w:keepNext/>
              <w:numPr>
                <w:ilvl w:val="0"/>
                <w:numId w:val="1"/>
              </w:numPr>
            </w:pPr>
            <w:r>
              <w:t>Submitted 3 days (49-72 hours) after deadline= 15% reduction in grade</w:t>
            </w:r>
          </w:p>
          <w:p w14:paraId="5659C222" w14:textId="77777777" w:rsidR="00A72390" w:rsidRDefault="009E7BED">
            <w:pPr>
              <w:keepNext/>
              <w:numPr>
                <w:ilvl w:val="0"/>
                <w:numId w:val="1"/>
              </w:numPr>
            </w:pPr>
            <w:r>
              <w:t>Submitted 4 days (73-96 hours) after deadline= 20% reduction in grade</w:t>
            </w:r>
          </w:p>
          <w:p w14:paraId="4C796765" w14:textId="77777777" w:rsidR="00A72390" w:rsidRDefault="009E7BED">
            <w:pPr>
              <w:keepNext/>
              <w:numPr>
                <w:ilvl w:val="0"/>
                <w:numId w:val="1"/>
              </w:numPr>
            </w:pPr>
            <w:r>
              <w:t>Submi</w:t>
            </w:r>
            <w:r>
              <w:t>tted 5 days + (96+ hours) after deadline= automatic 55% (F)</w:t>
            </w:r>
          </w:p>
          <w:p w14:paraId="68806DBF" w14:textId="77777777" w:rsidR="00A72390" w:rsidRDefault="00A72390">
            <w:pPr>
              <w:keepNext/>
            </w:pPr>
          </w:p>
          <w:p w14:paraId="21FF3359" w14:textId="77777777" w:rsidR="00A72390" w:rsidRDefault="009E7BED">
            <w:pPr>
              <w:keepNext/>
            </w:pPr>
            <w:r>
              <w:t xml:space="preserve">I may grant extensions but only if asked </w:t>
            </w:r>
            <w:r>
              <w:rPr>
                <w:b/>
              </w:rPr>
              <w:t>at least 24 hours before</w:t>
            </w:r>
            <w:r>
              <w:t xml:space="preserve"> the deadline. </w:t>
            </w:r>
          </w:p>
        </w:tc>
      </w:tr>
    </w:tbl>
    <w:p w14:paraId="78678215" w14:textId="77777777" w:rsidR="00A72390" w:rsidRDefault="009E7BED">
      <w:pPr>
        <w:pStyle w:val="Heading2"/>
        <w:numPr>
          <w:ilvl w:val="1"/>
          <w:numId w:val="6"/>
        </w:numPr>
        <w:rPr>
          <w:rFonts w:ascii="Calibri" w:eastAsia="Calibri" w:hAnsi="Calibri" w:cs="Calibri"/>
        </w:rPr>
      </w:pPr>
      <w:bookmarkStart w:id="13" w:name="_2oytusrnc2pp" w:colFirst="0" w:colLast="0"/>
      <w:bookmarkEnd w:id="13"/>
      <w:r>
        <w:rPr>
          <w:rFonts w:ascii="Calibri" w:eastAsia="Calibri" w:hAnsi="Calibri" w:cs="Calibri"/>
        </w:rPr>
        <w:t>Missing Work</w:t>
      </w:r>
    </w:p>
    <w:tbl>
      <w:tblPr>
        <w:tblStyle w:val="ad"/>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tblGrid>
      <w:tr w:rsidR="00A72390" w14:paraId="47DB5F4C" w14:textId="77777777">
        <w:tc>
          <w:tcPr>
            <w:tcW w:w="8955" w:type="dxa"/>
          </w:tcPr>
          <w:p w14:paraId="35F6605B" w14:textId="77777777" w:rsidR="00A72390" w:rsidRDefault="009E7BED">
            <w:r>
              <w:t>An assignment submitted more than 5 days (96 hours+) after the due date, not submitted at all, or not submitted properly per my requests will be considered missing. I will rarely grant extensions, but I encourage you to discuss the possibilities with me in</w:t>
            </w:r>
            <w:r>
              <w:t xml:space="preserve"> extreme circumstances. However, I’ll only grant possible extensions if requested (usually via email) </w:t>
            </w:r>
            <w:r>
              <w:rPr>
                <w:b/>
              </w:rPr>
              <w:t xml:space="preserve">24 hours or more before the deadline. </w:t>
            </w:r>
            <w:r>
              <w:t xml:space="preserve"> </w:t>
            </w:r>
          </w:p>
        </w:tc>
      </w:tr>
    </w:tbl>
    <w:p w14:paraId="45E3B117" w14:textId="77777777" w:rsidR="00A72390" w:rsidRDefault="009E7BED">
      <w:pPr>
        <w:pStyle w:val="Heading2"/>
        <w:numPr>
          <w:ilvl w:val="1"/>
          <w:numId w:val="6"/>
        </w:numPr>
        <w:rPr>
          <w:rFonts w:ascii="Calibri" w:eastAsia="Calibri" w:hAnsi="Calibri" w:cs="Calibri"/>
        </w:rPr>
      </w:pPr>
      <w:bookmarkStart w:id="14" w:name="_e79myt4mklox" w:colFirst="0" w:colLast="0"/>
      <w:bookmarkEnd w:id="14"/>
      <w:r>
        <w:rPr>
          <w:rFonts w:ascii="Calibri" w:eastAsia="Calibri" w:hAnsi="Calibri" w:cs="Calibri"/>
        </w:rPr>
        <w:t>Plagiarism and Academic Honesty</w:t>
      </w:r>
    </w:p>
    <w:tbl>
      <w:tblPr>
        <w:tblStyle w:val="ae"/>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tblGrid>
      <w:tr w:rsidR="00A72390" w14:paraId="6125C294" w14:textId="77777777">
        <w:tc>
          <w:tcPr>
            <w:tcW w:w="8955" w:type="dxa"/>
          </w:tcPr>
          <w:p w14:paraId="4B0D87F6" w14:textId="77777777" w:rsidR="00A72390" w:rsidRDefault="009E7BED">
            <w:pPr>
              <w:keepNext/>
            </w:pPr>
            <w:r>
              <w:t>You must use appropriate conventions for referencing words and ideas that are not</w:t>
            </w:r>
            <w:r>
              <w:t xml:space="preserve"> your own (MLA, APA, Chicago). Representation of the thoughts or words of someone else as your own is </w:t>
            </w:r>
            <w:r>
              <w:rPr>
                <w:i/>
              </w:rPr>
              <w:t xml:space="preserve">plagiarism. </w:t>
            </w:r>
            <w:r>
              <w:t>UWSP takes it seriously. Plagiarism may result in failure, suspension, or even expulsion. As your instructor, I will comply with university po</w:t>
            </w:r>
            <w:r>
              <w:t>licy and report purposeful plagiarism. If you are struggling with citation, see me or the campus writing center. We can discuss the problem and help you overcome it.</w:t>
            </w:r>
          </w:p>
        </w:tc>
      </w:tr>
    </w:tbl>
    <w:p w14:paraId="00A69C49" w14:textId="77777777" w:rsidR="00A72390" w:rsidRDefault="009E7BED">
      <w:pPr>
        <w:pStyle w:val="Heading2"/>
        <w:ind w:firstLine="792"/>
        <w:rPr>
          <w:rFonts w:ascii="Calibri" w:eastAsia="Calibri" w:hAnsi="Calibri" w:cs="Calibri"/>
        </w:rPr>
      </w:pPr>
      <w:bookmarkStart w:id="15" w:name="_w66wjin5804u" w:colFirst="0" w:colLast="0"/>
      <w:bookmarkEnd w:id="15"/>
      <w:r>
        <w:br w:type="page"/>
      </w:r>
    </w:p>
    <w:p w14:paraId="12C63AF2" w14:textId="77777777" w:rsidR="00A72390" w:rsidRDefault="009E7BED">
      <w:pPr>
        <w:pStyle w:val="Heading2"/>
        <w:numPr>
          <w:ilvl w:val="1"/>
          <w:numId w:val="6"/>
        </w:numPr>
        <w:rPr>
          <w:rFonts w:ascii="Calibri" w:eastAsia="Calibri" w:hAnsi="Calibri" w:cs="Calibri"/>
        </w:rPr>
      </w:pPr>
      <w:bookmarkStart w:id="16" w:name="_h303dpm06jyr" w:colFirst="0" w:colLast="0"/>
      <w:bookmarkEnd w:id="16"/>
      <w:r>
        <w:rPr>
          <w:rFonts w:ascii="Calibri" w:eastAsia="Calibri" w:hAnsi="Calibri" w:cs="Calibri"/>
        </w:rPr>
        <w:lastRenderedPageBreak/>
        <w:t>Inclusivity Statement</w:t>
      </w:r>
    </w:p>
    <w:tbl>
      <w:tblPr>
        <w:tblStyle w:val="af"/>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tblGrid>
      <w:tr w:rsidR="00A72390" w14:paraId="6F305162" w14:textId="77777777">
        <w:tc>
          <w:tcPr>
            <w:tcW w:w="8955" w:type="dxa"/>
          </w:tcPr>
          <w:p w14:paraId="59CFFFA6" w14:textId="77777777" w:rsidR="00A72390" w:rsidRDefault="009E7BED">
            <w:pPr>
              <w:keepNext/>
              <w:shd w:val="clear" w:color="auto" w:fill="FFFFFF"/>
              <w:tabs>
                <w:tab w:val="left" w:pos="0"/>
              </w:tabs>
            </w:pPr>
            <w:r>
              <w:t xml:space="preserve"> It is my intent that students from diverse backgrounds and perspectives be well-served by this course, that students’ learning needs be addressed both in and out of class, and that the diversity that the students bring in and out of class be viewed as a r</w:t>
            </w:r>
            <w:r>
              <w:t>esource, strength, and benefit. Every student has a perspective, and we learn by hearing many of them, but some of your perspectives aren’t represented in our course readings, so learning depends upon you all contributing to the class with your opinions an</w:t>
            </w:r>
            <w:r>
              <w:t xml:space="preserve">d perspectives as well. </w:t>
            </w:r>
          </w:p>
          <w:p w14:paraId="1B8F6F51" w14:textId="77777777" w:rsidR="00A72390" w:rsidRDefault="00A72390">
            <w:pPr>
              <w:keepNext/>
              <w:shd w:val="clear" w:color="auto" w:fill="FFFFFF"/>
              <w:tabs>
                <w:tab w:val="left" w:pos="0"/>
              </w:tabs>
            </w:pPr>
          </w:p>
          <w:p w14:paraId="68AE36B6" w14:textId="77777777" w:rsidR="00A72390" w:rsidRDefault="009E7BED">
            <w:pPr>
              <w:keepNext/>
              <w:shd w:val="clear" w:color="auto" w:fill="FFFFFF"/>
              <w:tabs>
                <w:tab w:val="left" w:pos="0"/>
              </w:tabs>
            </w:pPr>
            <w:r>
              <w:t>It is my intent to present materials and activities that are respectful of diversity:  gender identity, sexuality, disability, age, socioeconomic status, ethnicity, race, nationality, religion, and culture.  Your suggestions are e</w:t>
            </w:r>
            <w:r>
              <w:t xml:space="preserve">ncouraged and appreciated.  Please let me know ways to improve the effectiveness of the course for you personally, or for other students or student groups. </w:t>
            </w:r>
          </w:p>
          <w:p w14:paraId="7E75DE79" w14:textId="77777777" w:rsidR="00A72390" w:rsidRDefault="009E7BED">
            <w:pPr>
              <w:keepNext/>
              <w:shd w:val="clear" w:color="auto" w:fill="FFFFFF"/>
              <w:tabs>
                <w:tab w:val="left" w:pos="0"/>
              </w:tabs>
            </w:pPr>
            <w:r>
              <w:t xml:space="preserve"> </w:t>
            </w:r>
          </w:p>
          <w:p w14:paraId="0AE4B98D" w14:textId="77777777" w:rsidR="00A72390" w:rsidRDefault="009E7BED">
            <w:pPr>
              <w:keepNext/>
              <w:shd w:val="clear" w:color="auto" w:fill="FFFFFF"/>
              <w:tabs>
                <w:tab w:val="left" w:pos="0"/>
              </w:tabs>
            </w:pPr>
            <w:r>
              <w:t>If you have experienced a bias incident (an act of conduct, speech, or expression to which a bias</w:t>
            </w:r>
            <w:r>
              <w:t xml:space="preserve"> motive is evident as a contributing factor regardless of whether the act is criminal) at UWSP, you have the right to report it using this link.  You may also contact the Dean of Students office directly at </w:t>
            </w:r>
            <w:r>
              <w:rPr>
                <w:color w:val="0563C1"/>
              </w:rPr>
              <w:t>dos@uwsp.edu</w:t>
            </w:r>
            <w:r>
              <w:t xml:space="preserve"> </w:t>
            </w:r>
          </w:p>
          <w:p w14:paraId="03AF17CA" w14:textId="77777777" w:rsidR="00A72390" w:rsidRDefault="00A72390">
            <w:pPr>
              <w:keepNext/>
              <w:tabs>
                <w:tab w:val="left" w:pos="0"/>
              </w:tabs>
            </w:pPr>
          </w:p>
        </w:tc>
      </w:tr>
    </w:tbl>
    <w:p w14:paraId="2BAF14DD" w14:textId="77777777" w:rsidR="00A72390" w:rsidRDefault="009E7BED">
      <w:pPr>
        <w:pStyle w:val="Heading1"/>
        <w:numPr>
          <w:ilvl w:val="0"/>
          <w:numId w:val="6"/>
        </w:numPr>
        <w:spacing w:after="0"/>
      </w:pPr>
      <w:r>
        <w:t>Schedule</w:t>
      </w:r>
    </w:p>
    <w:p w14:paraId="76C02A4A" w14:textId="77777777" w:rsidR="00A72390" w:rsidRDefault="009E7BED">
      <w:pPr>
        <w:pStyle w:val="Heading2"/>
        <w:numPr>
          <w:ilvl w:val="1"/>
          <w:numId w:val="6"/>
        </w:numPr>
        <w:spacing w:before="0"/>
        <w:rPr>
          <w:rFonts w:ascii="Calibri" w:eastAsia="Calibri" w:hAnsi="Calibri" w:cs="Calibri"/>
        </w:rPr>
      </w:pPr>
      <w:r>
        <w:rPr>
          <w:rFonts w:ascii="Calibri" w:eastAsia="Calibri" w:hAnsi="Calibri" w:cs="Calibri"/>
        </w:rPr>
        <w:t xml:space="preserve">Time Commitment </w:t>
      </w:r>
    </w:p>
    <w:tbl>
      <w:tblPr>
        <w:tblStyle w:val="af0"/>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50341A46" w14:textId="77777777">
        <w:tc>
          <w:tcPr>
            <w:tcW w:w="8964" w:type="dxa"/>
          </w:tcPr>
          <w:p w14:paraId="45234814" w14:textId="77777777" w:rsidR="00A72390" w:rsidRDefault="009E7BED">
            <w:pPr>
              <w:keepNext/>
            </w:pPr>
            <w:r>
              <w:t xml:space="preserve">Expect to commit about </w:t>
            </w:r>
            <w:r>
              <w:rPr>
                <w:b/>
              </w:rPr>
              <w:t>five</w:t>
            </w:r>
            <w:r>
              <w:t xml:space="preserve"> hours per week to this course, which breaks down (roughly) like this: </w:t>
            </w:r>
          </w:p>
          <w:tbl>
            <w:tblPr>
              <w:tblStyle w:val="af1"/>
              <w:tblW w:w="8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6915"/>
            </w:tblGrid>
            <w:tr w:rsidR="00A72390" w14:paraId="21551665" w14:textId="77777777">
              <w:tc>
                <w:tcPr>
                  <w:tcW w:w="1845" w:type="dxa"/>
                  <w:shd w:val="clear" w:color="auto" w:fill="auto"/>
                  <w:tcMar>
                    <w:top w:w="100" w:type="dxa"/>
                    <w:left w:w="100" w:type="dxa"/>
                    <w:bottom w:w="100" w:type="dxa"/>
                    <w:right w:w="100" w:type="dxa"/>
                  </w:tcMar>
                </w:tcPr>
                <w:p w14:paraId="7590F005" w14:textId="77777777" w:rsidR="00A72390" w:rsidRDefault="009E7BED">
                  <w:pPr>
                    <w:widowControl w:val="0"/>
                    <w:pBdr>
                      <w:top w:val="nil"/>
                      <w:left w:val="nil"/>
                      <w:bottom w:val="nil"/>
                      <w:right w:val="nil"/>
                      <w:between w:val="nil"/>
                    </w:pBdr>
                    <w:rPr>
                      <w:sz w:val="24"/>
                      <w:szCs w:val="24"/>
                    </w:rPr>
                  </w:pPr>
                  <w:r>
                    <w:rPr>
                      <w:sz w:val="24"/>
                      <w:szCs w:val="24"/>
                    </w:rPr>
                    <w:t>2.5 hours/ wk</w:t>
                  </w:r>
                </w:p>
              </w:tc>
              <w:tc>
                <w:tcPr>
                  <w:tcW w:w="6915" w:type="dxa"/>
                  <w:shd w:val="clear" w:color="auto" w:fill="auto"/>
                  <w:tcMar>
                    <w:top w:w="100" w:type="dxa"/>
                    <w:left w:w="100" w:type="dxa"/>
                    <w:bottom w:w="100" w:type="dxa"/>
                    <w:right w:w="100" w:type="dxa"/>
                  </w:tcMar>
                </w:tcPr>
                <w:p w14:paraId="5454D7F7" w14:textId="77777777" w:rsidR="00A72390" w:rsidRDefault="009E7BED">
                  <w:pPr>
                    <w:widowControl w:val="0"/>
                    <w:pBdr>
                      <w:top w:val="nil"/>
                      <w:left w:val="nil"/>
                      <w:bottom w:val="nil"/>
                      <w:right w:val="nil"/>
                      <w:between w:val="nil"/>
                    </w:pBdr>
                    <w:rPr>
                      <w:sz w:val="24"/>
                      <w:szCs w:val="24"/>
                    </w:rPr>
                  </w:pPr>
                  <w:r>
                    <w:rPr>
                      <w:sz w:val="24"/>
                      <w:szCs w:val="24"/>
                    </w:rPr>
                    <w:t>watching lectures</w:t>
                  </w:r>
                </w:p>
                <w:p w14:paraId="55EE0B27" w14:textId="77777777" w:rsidR="00A72390" w:rsidRDefault="009E7BED">
                  <w:pPr>
                    <w:widowControl w:val="0"/>
                    <w:pBdr>
                      <w:top w:val="nil"/>
                      <w:left w:val="nil"/>
                      <w:bottom w:val="nil"/>
                      <w:right w:val="nil"/>
                      <w:between w:val="nil"/>
                    </w:pBdr>
                    <w:rPr>
                      <w:sz w:val="24"/>
                      <w:szCs w:val="24"/>
                    </w:rPr>
                  </w:pPr>
                  <w:r>
                    <w:rPr>
                      <w:sz w:val="24"/>
                      <w:szCs w:val="24"/>
                    </w:rPr>
                    <w:t>posting to discussion boards</w:t>
                  </w:r>
                </w:p>
                <w:p w14:paraId="282EAAA4" w14:textId="77777777" w:rsidR="00A72390" w:rsidRDefault="009E7BED">
                  <w:pPr>
                    <w:widowControl w:val="0"/>
                    <w:pBdr>
                      <w:top w:val="nil"/>
                      <w:left w:val="nil"/>
                      <w:bottom w:val="nil"/>
                      <w:right w:val="nil"/>
                      <w:between w:val="nil"/>
                    </w:pBdr>
                    <w:rPr>
                      <w:sz w:val="24"/>
                      <w:szCs w:val="24"/>
                    </w:rPr>
                  </w:pPr>
                  <w:r>
                    <w:rPr>
                      <w:sz w:val="24"/>
                      <w:szCs w:val="24"/>
                    </w:rPr>
                    <w:t>completing activities</w:t>
                  </w:r>
                </w:p>
              </w:tc>
            </w:tr>
            <w:tr w:rsidR="00A72390" w14:paraId="385FE40E" w14:textId="77777777">
              <w:tc>
                <w:tcPr>
                  <w:tcW w:w="1845" w:type="dxa"/>
                  <w:shd w:val="clear" w:color="auto" w:fill="auto"/>
                  <w:tcMar>
                    <w:top w:w="100" w:type="dxa"/>
                    <w:left w:w="100" w:type="dxa"/>
                    <w:bottom w:w="100" w:type="dxa"/>
                    <w:right w:w="100" w:type="dxa"/>
                  </w:tcMar>
                </w:tcPr>
                <w:p w14:paraId="5848D8BD" w14:textId="77777777" w:rsidR="00A72390" w:rsidRDefault="009E7BED">
                  <w:pPr>
                    <w:widowControl w:val="0"/>
                    <w:pBdr>
                      <w:top w:val="nil"/>
                      <w:left w:val="nil"/>
                      <w:bottom w:val="nil"/>
                      <w:right w:val="nil"/>
                      <w:between w:val="nil"/>
                    </w:pBdr>
                    <w:rPr>
                      <w:sz w:val="24"/>
                      <w:szCs w:val="24"/>
                    </w:rPr>
                  </w:pPr>
                  <w:r>
                    <w:rPr>
                      <w:sz w:val="24"/>
                      <w:szCs w:val="24"/>
                    </w:rPr>
                    <w:t>2.5 hours/ wk</w:t>
                  </w:r>
                </w:p>
              </w:tc>
              <w:tc>
                <w:tcPr>
                  <w:tcW w:w="6915" w:type="dxa"/>
                  <w:shd w:val="clear" w:color="auto" w:fill="auto"/>
                  <w:tcMar>
                    <w:top w:w="100" w:type="dxa"/>
                    <w:left w:w="100" w:type="dxa"/>
                    <w:bottom w:w="100" w:type="dxa"/>
                    <w:right w:w="100" w:type="dxa"/>
                  </w:tcMar>
                </w:tcPr>
                <w:p w14:paraId="7DAF9F67" w14:textId="77777777" w:rsidR="00A72390" w:rsidRDefault="009E7BED">
                  <w:pPr>
                    <w:widowControl w:val="0"/>
                    <w:pBdr>
                      <w:top w:val="nil"/>
                      <w:left w:val="nil"/>
                      <w:bottom w:val="nil"/>
                      <w:right w:val="nil"/>
                      <w:between w:val="nil"/>
                    </w:pBdr>
                    <w:rPr>
                      <w:sz w:val="24"/>
                      <w:szCs w:val="24"/>
                    </w:rPr>
                  </w:pPr>
                  <w:r>
                    <w:rPr>
                      <w:sz w:val="24"/>
                      <w:szCs w:val="24"/>
                    </w:rPr>
                    <w:t>preparing for presentations</w:t>
                  </w:r>
                </w:p>
                <w:p w14:paraId="55831CF7" w14:textId="77777777" w:rsidR="00A72390" w:rsidRDefault="009E7BED">
                  <w:pPr>
                    <w:widowControl w:val="0"/>
                    <w:pBdr>
                      <w:top w:val="nil"/>
                      <w:left w:val="nil"/>
                      <w:bottom w:val="nil"/>
                      <w:right w:val="nil"/>
                      <w:between w:val="nil"/>
                    </w:pBdr>
                    <w:rPr>
                      <w:sz w:val="24"/>
                      <w:szCs w:val="24"/>
                    </w:rPr>
                  </w:pPr>
                  <w:r>
                    <w:rPr>
                      <w:sz w:val="24"/>
                      <w:szCs w:val="24"/>
                    </w:rPr>
                    <w:t xml:space="preserve">taking “field </w:t>
                  </w:r>
                  <w:r>
                    <w:rPr>
                      <w:sz w:val="24"/>
                      <w:szCs w:val="24"/>
                    </w:rPr>
                    <w:t>trips”</w:t>
                  </w:r>
                </w:p>
                <w:p w14:paraId="21FB14F6" w14:textId="77777777" w:rsidR="00A72390" w:rsidRDefault="009E7BED">
                  <w:pPr>
                    <w:widowControl w:val="0"/>
                    <w:pBdr>
                      <w:top w:val="nil"/>
                      <w:left w:val="nil"/>
                      <w:bottom w:val="nil"/>
                      <w:right w:val="nil"/>
                      <w:between w:val="nil"/>
                    </w:pBdr>
                    <w:rPr>
                      <w:sz w:val="24"/>
                      <w:szCs w:val="24"/>
                    </w:rPr>
                  </w:pPr>
                  <w:r>
                    <w:rPr>
                      <w:sz w:val="24"/>
                      <w:szCs w:val="24"/>
                    </w:rPr>
                    <w:t xml:space="preserve">reading </w:t>
                  </w:r>
                </w:p>
              </w:tc>
            </w:tr>
          </w:tbl>
          <w:p w14:paraId="51BCB9E3" w14:textId="77777777" w:rsidR="00A72390" w:rsidRDefault="00A72390">
            <w:pPr>
              <w:keepNext/>
            </w:pPr>
          </w:p>
        </w:tc>
      </w:tr>
    </w:tbl>
    <w:p w14:paraId="79E0BCFA" w14:textId="77777777" w:rsidR="00A72390" w:rsidRDefault="009E7BED">
      <w:pPr>
        <w:pStyle w:val="Heading1"/>
        <w:numPr>
          <w:ilvl w:val="0"/>
          <w:numId w:val="6"/>
        </w:numPr>
      </w:pPr>
      <w:r>
        <w:t>Other Administrative Details</w:t>
      </w:r>
    </w:p>
    <w:p w14:paraId="3DBEC2F3" w14:textId="77777777" w:rsidR="00A72390" w:rsidRDefault="009E7BED">
      <w:pPr>
        <w:pStyle w:val="Heading2"/>
        <w:numPr>
          <w:ilvl w:val="1"/>
          <w:numId w:val="6"/>
        </w:numPr>
        <w:spacing w:before="20"/>
        <w:rPr>
          <w:rFonts w:ascii="Calibri" w:eastAsia="Calibri" w:hAnsi="Calibri" w:cs="Calibri"/>
        </w:rPr>
      </w:pPr>
      <w:r>
        <w:rPr>
          <w:rFonts w:ascii="Calibri" w:eastAsia="Calibri" w:hAnsi="Calibri" w:cs="Calibri"/>
        </w:rPr>
        <w:t>ADA / Equal Access for Students with Disabilities</w:t>
      </w:r>
    </w:p>
    <w:tbl>
      <w:tblPr>
        <w:tblStyle w:val="af2"/>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7FB29A63" w14:textId="77777777">
        <w:tc>
          <w:tcPr>
            <w:tcW w:w="8964" w:type="dxa"/>
            <w:tcBorders>
              <w:top w:val="nil"/>
              <w:left w:val="nil"/>
              <w:bottom w:val="nil"/>
              <w:right w:val="nil"/>
            </w:tcBorders>
          </w:tcPr>
          <w:p w14:paraId="5A49AF21" w14:textId="77777777" w:rsidR="00A72390" w:rsidRDefault="00A72390">
            <w:pPr>
              <w:spacing w:before="20"/>
              <w:rPr>
                <w:i/>
              </w:rPr>
            </w:pPr>
          </w:p>
          <w:tbl>
            <w:tblPr>
              <w:tblStyle w:val="af3"/>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4"/>
            </w:tblGrid>
            <w:tr w:rsidR="00A72390" w14:paraId="3C6EAEFD" w14:textId="77777777">
              <w:tc>
                <w:tcPr>
                  <w:tcW w:w="8764" w:type="dxa"/>
                  <w:shd w:val="clear" w:color="auto" w:fill="auto"/>
                  <w:tcMar>
                    <w:top w:w="100" w:type="dxa"/>
                    <w:left w:w="100" w:type="dxa"/>
                    <w:bottom w:w="100" w:type="dxa"/>
                    <w:right w:w="100" w:type="dxa"/>
                  </w:tcMar>
                </w:tcPr>
                <w:p w14:paraId="57D0706F" w14:textId="77777777" w:rsidR="00A72390" w:rsidRDefault="009E7BED">
                  <w:pPr>
                    <w:spacing w:before="20"/>
                    <w:rPr>
                      <w:sz w:val="24"/>
                      <w:szCs w:val="24"/>
                    </w:rPr>
                  </w:pPr>
                  <w:bookmarkStart w:id="17" w:name="_5x015zig8u7u" w:colFirst="0" w:colLast="0"/>
                  <w:bookmarkEnd w:id="17"/>
                  <w:r>
                    <w:rPr>
                      <w:sz w:val="24"/>
                      <w:szCs w:val="24"/>
                    </w:rPr>
                    <w:t xml:space="preserve">The American Disabilities Act (ADA) is a federal law requiring educational institutions to provide reasonable accommodations for students with disabilities.  For more information about UWSP’s policies, see: </w:t>
                  </w:r>
                  <w:hyperlink r:id="rId15">
                    <w:r>
                      <w:rPr>
                        <w:color w:val="0563C1"/>
                        <w:sz w:val="24"/>
                        <w:szCs w:val="24"/>
                        <w:u w:val="single"/>
                      </w:rPr>
                      <w:t>https://www.uwsp.edu/datc/Pages/uw-legal-policy-info.aspx</w:t>
                    </w:r>
                  </w:hyperlink>
                </w:p>
                <w:p w14:paraId="72763E4B" w14:textId="77777777" w:rsidR="00A72390" w:rsidRDefault="00A72390">
                  <w:pPr>
                    <w:spacing w:before="20"/>
                    <w:rPr>
                      <w:sz w:val="24"/>
                      <w:szCs w:val="24"/>
                    </w:rPr>
                  </w:pPr>
                </w:p>
                <w:p w14:paraId="3D40B9A2" w14:textId="77777777" w:rsidR="00A72390" w:rsidRDefault="009E7BED">
                  <w:pPr>
                    <w:spacing w:before="20"/>
                    <w:rPr>
                      <w:sz w:val="24"/>
                      <w:szCs w:val="24"/>
                    </w:rPr>
                  </w:pPr>
                  <w:r>
                    <w:rPr>
                      <w:sz w:val="24"/>
                      <w:szCs w:val="24"/>
                    </w:rPr>
                    <w:t>UW-Stevens Point will modify academic program requirements as necessary to ensure that they do not discriminate against qualified appli</w:t>
                  </w:r>
                  <w:r>
                    <w:rPr>
                      <w:sz w:val="24"/>
                      <w:szCs w:val="24"/>
                    </w:rPr>
                    <w:t xml:space="preserve">cants or students with </w:t>
                  </w:r>
                  <w:r>
                    <w:rPr>
                      <w:sz w:val="24"/>
                      <w:szCs w:val="24"/>
                    </w:rPr>
                    <w:lastRenderedPageBreak/>
                    <w:t xml:space="preserve">disabilities.  The modifications should not affect the substance of educational programs or compromise academic standards; nor should they intrude upon academic freedom. Examinations or other procedures used for evaluating students' </w:t>
                  </w:r>
                  <w:r>
                    <w:rPr>
                      <w:sz w:val="24"/>
                      <w:szCs w:val="24"/>
                    </w:rPr>
                    <w:t>academic achievements may be adapted. The results of such evaluation must demonstrate the student's achievement in the academic activity, rather than describe his/her disability.</w:t>
                  </w:r>
                </w:p>
                <w:p w14:paraId="771E5563" w14:textId="77777777" w:rsidR="00A72390" w:rsidRDefault="00A72390">
                  <w:pPr>
                    <w:spacing w:before="20"/>
                    <w:rPr>
                      <w:sz w:val="24"/>
                      <w:szCs w:val="24"/>
                    </w:rPr>
                  </w:pPr>
                </w:p>
                <w:p w14:paraId="61BEB97D" w14:textId="77777777" w:rsidR="00A72390" w:rsidRDefault="009E7BED">
                  <w:pPr>
                    <w:spacing w:before="20"/>
                    <w:rPr>
                      <w:i/>
                      <w:sz w:val="24"/>
                      <w:szCs w:val="24"/>
                    </w:rPr>
                  </w:pPr>
                  <w:r>
                    <w:rPr>
                      <w:sz w:val="24"/>
                      <w:szCs w:val="24"/>
                    </w:rPr>
                    <w:t>If modifications are required due to a disability, please inform the instructor and contact the Disability and Assistive Technology Center to complete an Accommodations Request form. The Disability and Assistive Technology Center is located on the 6th Floo</w:t>
                  </w:r>
                  <w:r>
                    <w:rPr>
                      <w:sz w:val="24"/>
                      <w:szCs w:val="24"/>
                    </w:rPr>
                    <w:t xml:space="preserve">r of Albertson Hall. For more information, call 715-346-3365 or visit: </w:t>
                  </w:r>
                  <w:hyperlink r:id="rId16">
                    <w:r>
                      <w:rPr>
                        <w:color w:val="0563C1"/>
                        <w:sz w:val="24"/>
                        <w:szCs w:val="24"/>
                        <w:u w:val="single"/>
                      </w:rPr>
                      <w:t>https://www.uwsp.edu/datc/Pages/default.aspx</w:t>
                    </w:r>
                  </w:hyperlink>
                </w:p>
                <w:p w14:paraId="6CDEDA6E" w14:textId="77777777" w:rsidR="00A72390" w:rsidRDefault="00A72390">
                  <w:pPr>
                    <w:widowControl w:val="0"/>
                    <w:pBdr>
                      <w:top w:val="nil"/>
                      <w:left w:val="nil"/>
                      <w:bottom w:val="nil"/>
                      <w:right w:val="nil"/>
                      <w:between w:val="nil"/>
                    </w:pBdr>
                    <w:spacing w:before="20"/>
                    <w:rPr>
                      <w:sz w:val="24"/>
                      <w:szCs w:val="24"/>
                    </w:rPr>
                  </w:pPr>
                </w:p>
              </w:tc>
            </w:tr>
          </w:tbl>
          <w:p w14:paraId="7D3BF1A7" w14:textId="77777777" w:rsidR="00A72390" w:rsidRDefault="00A72390">
            <w:pPr>
              <w:spacing w:before="20"/>
              <w:rPr>
                <w:i/>
              </w:rPr>
            </w:pPr>
          </w:p>
        </w:tc>
      </w:tr>
    </w:tbl>
    <w:p w14:paraId="01D9B896" w14:textId="77777777" w:rsidR="00A72390" w:rsidRDefault="009E7BED">
      <w:pPr>
        <w:pStyle w:val="Heading2"/>
        <w:numPr>
          <w:ilvl w:val="1"/>
          <w:numId w:val="6"/>
        </w:numPr>
        <w:spacing w:before="0"/>
        <w:rPr>
          <w:rFonts w:ascii="Calibri" w:eastAsia="Calibri" w:hAnsi="Calibri" w:cs="Calibri"/>
        </w:rPr>
      </w:pPr>
      <w:r>
        <w:rPr>
          <w:rFonts w:ascii="Calibri" w:eastAsia="Calibri" w:hAnsi="Calibri" w:cs="Calibri"/>
        </w:rPr>
        <w:lastRenderedPageBreak/>
        <w:t>Help Resources</w:t>
      </w:r>
    </w:p>
    <w:tbl>
      <w:tblPr>
        <w:tblStyle w:val="af4"/>
        <w:tblW w:w="8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4"/>
      </w:tblGrid>
      <w:tr w:rsidR="00A72390" w14:paraId="4DCDC036" w14:textId="77777777">
        <w:tc>
          <w:tcPr>
            <w:tcW w:w="8964" w:type="dxa"/>
            <w:tcBorders>
              <w:top w:val="nil"/>
              <w:left w:val="nil"/>
              <w:bottom w:val="nil"/>
              <w:right w:val="nil"/>
            </w:tcBorders>
          </w:tcPr>
          <w:p w14:paraId="188B0645" w14:textId="77777777" w:rsidR="00A72390" w:rsidRDefault="00A72390">
            <w:pPr>
              <w:pBdr>
                <w:top w:val="nil"/>
                <w:left w:val="nil"/>
                <w:bottom w:val="nil"/>
                <w:right w:val="nil"/>
                <w:between w:val="nil"/>
              </w:pBdr>
              <w:tabs>
                <w:tab w:val="left" w:pos="720"/>
              </w:tabs>
            </w:pPr>
          </w:p>
          <w:tbl>
            <w:tblPr>
              <w:tblStyle w:val="af5"/>
              <w:tblW w:w="8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4"/>
            </w:tblGrid>
            <w:tr w:rsidR="00A72390" w14:paraId="3FBB6058" w14:textId="77777777">
              <w:tc>
                <w:tcPr>
                  <w:tcW w:w="8764" w:type="dxa"/>
                  <w:shd w:val="clear" w:color="auto" w:fill="auto"/>
                  <w:tcMar>
                    <w:top w:w="100" w:type="dxa"/>
                    <w:left w:w="100" w:type="dxa"/>
                    <w:bottom w:w="100" w:type="dxa"/>
                    <w:right w:w="100" w:type="dxa"/>
                  </w:tcMar>
                </w:tcPr>
                <w:p w14:paraId="287C4C41" w14:textId="77777777" w:rsidR="00A72390" w:rsidRDefault="009E7BED">
                  <w:pPr>
                    <w:rPr>
                      <w:sz w:val="24"/>
                      <w:szCs w:val="24"/>
                    </w:rPr>
                  </w:pPr>
                  <w:r>
                    <w:rPr>
                      <w:sz w:val="24"/>
                      <w:szCs w:val="24"/>
                    </w:rPr>
                    <w:t xml:space="preserve">The Tutoring and Learning Center helps with Study Skills, Writing, Technology, Math, &amp; Science. The Tutoring and Learning Center is located at 018 Albertson Hall.  For more information, call 715-346-3568 or visit: </w:t>
                  </w:r>
                  <w:hyperlink r:id="rId17">
                    <w:r>
                      <w:rPr>
                        <w:color w:val="0563C1"/>
                        <w:sz w:val="24"/>
                        <w:szCs w:val="24"/>
                        <w:u w:val="single"/>
                      </w:rPr>
                      <w:t>https://www.uwsp.edu/tlc/Pages/default.aspx</w:t>
                    </w:r>
                  </w:hyperlink>
                </w:p>
                <w:p w14:paraId="43861329" w14:textId="77777777" w:rsidR="00A72390" w:rsidRDefault="00A72390">
                  <w:pPr>
                    <w:rPr>
                      <w:sz w:val="24"/>
                      <w:szCs w:val="24"/>
                    </w:rPr>
                  </w:pPr>
                </w:p>
                <w:p w14:paraId="0999D28E" w14:textId="77777777" w:rsidR="00A72390" w:rsidRDefault="009E7BED">
                  <w:pPr>
                    <w:rPr>
                      <w:sz w:val="24"/>
                      <w:szCs w:val="24"/>
                    </w:rPr>
                  </w:pPr>
                  <w:r>
                    <w:rPr>
                      <w:sz w:val="24"/>
                      <w:szCs w:val="24"/>
                    </w:rPr>
                    <w:t>If you need healthcare, UWSP Student Health Service provides student-centered healthcare that empowers and promotes wellness for all UWSP students. Student H</w:t>
                  </w:r>
                  <w:r>
                    <w:rPr>
                      <w:sz w:val="24"/>
                      <w:szCs w:val="24"/>
                    </w:rPr>
                    <w:t xml:space="preserve">ealth Service is located on the 1st floor of Delzell Hall. For more information, call 715-346-4646 or visit: </w:t>
                  </w:r>
                  <w:hyperlink r:id="rId18">
                    <w:r>
                      <w:rPr>
                        <w:color w:val="0563C1"/>
                        <w:sz w:val="24"/>
                        <w:szCs w:val="24"/>
                        <w:u w:val="single"/>
                      </w:rPr>
                      <w:t>http://www.uwsp.edu/stuhealth/Pages/default.aspx</w:t>
                    </w:r>
                  </w:hyperlink>
                </w:p>
                <w:p w14:paraId="6D2F5013" w14:textId="77777777" w:rsidR="00A72390" w:rsidRDefault="00A72390">
                  <w:pPr>
                    <w:tabs>
                      <w:tab w:val="left" w:pos="720"/>
                    </w:tabs>
                    <w:rPr>
                      <w:sz w:val="24"/>
                      <w:szCs w:val="24"/>
                    </w:rPr>
                  </w:pPr>
                </w:p>
                <w:p w14:paraId="4B1FD579" w14:textId="77777777" w:rsidR="00A72390" w:rsidRDefault="009E7BED">
                  <w:pPr>
                    <w:tabs>
                      <w:tab w:val="left" w:pos="720"/>
                    </w:tabs>
                    <w:rPr>
                      <w:color w:val="0563C1"/>
                      <w:sz w:val="24"/>
                      <w:szCs w:val="24"/>
                      <w:u w:val="single"/>
                    </w:rPr>
                  </w:pPr>
                  <w:r>
                    <w:rPr>
                      <w:sz w:val="24"/>
                      <w:szCs w:val="24"/>
                    </w:rPr>
                    <w:t xml:space="preserve">The UWSP Counseling Center is staffed with licensed mental health professionals dedicated to assisting students as they navigate difficult circumstances or resolve personal concerns. Therapy and consultation services are free of charge for registered </w:t>
                  </w:r>
                  <w:r>
                    <w:rPr>
                      <w:sz w:val="24"/>
                      <w:szCs w:val="24"/>
                    </w:rPr>
                    <w:t xml:space="preserve">students. The UWSP Counseling Center is located on the 3rd Floor of Delzell Hall. For more information, call 715-346-3553 or visit: </w:t>
                  </w:r>
                  <w:hyperlink r:id="rId19">
                    <w:r>
                      <w:rPr>
                        <w:color w:val="0563C1"/>
                        <w:sz w:val="24"/>
                        <w:szCs w:val="24"/>
                        <w:u w:val="single"/>
                      </w:rPr>
                      <w:t>http://www.uwsp.edu/counseling/Pages/default.aspx</w:t>
                    </w:r>
                  </w:hyperlink>
                </w:p>
                <w:p w14:paraId="1F4D6471" w14:textId="77777777" w:rsidR="00A72390" w:rsidRDefault="00A72390">
                  <w:pPr>
                    <w:tabs>
                      <w:tab w:val="left" w:pos="720"/>
                    </w:tabs>
                    <w:rPr>
                      <w:sz w:val="24"/>
                      <w:szCs w:val="24"/>
                    </w:rPr>
                  </w:pPr>
                </w:p>
                <w:p w14:paraId="77130296" w14:textId="77777777" w:rsidR="00A72390" w:rsidRDefault="009E7BED">
                  <w:pPr>
                    <w:tabs>
                      <w:tab w:val="left" w:pos="720"/>
                    </w:tabs>
                    <w:rPr>
                      <w:sz w:val="24"/>
                      <w:szCs w:val="24"/>
                    </w:rPr>
                  </w:pPr>
                  <w:r>
                    <w:rPr>
                      <w:sz w:val="24"/>
                      <w:szCs w:val="24"/>
                    </w:rPr>
                    <w:t>In addition to the support services provided by Student Health Service and the UWSP Counseling, there are also professional support services available to students through the Dean of Students. For more additional information, p</w:t>
                  </w:r>
                  <w:r>
                    <w:rPr>
                      <w:sz w:val="24"/>
                      <w:szCs w:val="24"/>
                    </w:rPr>
                    <w:t xml:space="preserve">lease go to </w:t>
                  </w:r>
                  <w:hyperlink r:id="rId20">
                    <w:r>
                      <w:rPr>
                        <w:color w:val="0563C1"/>
                        <w:sz w:val="24"/>
                        <w:szCs w:val="24"/>
                        <w:u w:val="single"/>
                      </w:rPr>
                      <w:t>http://www.uwsp.edu/dos/Pages/default.aspx</w:t>
                    </w:r>
                  </w:hyperlink>
                </w:p>
                <w:p w14:paraId="2F5735E5" w14:textId="77777777" w:rsidR="00A72390" w:rsidRDefault="00A72390">
                  <w:pPr>
                    <w:widowControl w:val="0"/>
                    <w:pBdr>
                      <w:top w:val="nil"/>
                      <w:left w:val="nil"/>
                      <w:bottom w:val="nil"/>
                      <w:right w:val="nil"/>
                      <w:between w:val="nil"/>
                    </w:pBdr>
                    <w:rPr>
                      <w:sz w:val="24"/>
                      <w:szCs w:val="24"/>
                    </w:rPr>
                  </w:pPr>
                </w:p>
              </w:tc>
            </w:tr>
          </w:tbl>
          <w:p w14:paraId="126BD4C2" w14:textId="77777777" w:rsidR="00A72390" w:rsidRDefault="00A72390">
            <w:pPr>
              <w:pBdr>
                <w:top w:val="nil"/>
                <w:left w:val="nil"/>
                <w:bottom w:val="nil"/>
                <w:right w:val="nil"/>
                <w:between w:val="nil"/>
              </w:pBdr>
              <w:tabs>
                <w:tab w:val="left" w:pos="720"/>
              </w:tabs>
            </w:pPr>
          </w:p>
        </w:tc>
      </w:tr>
    </w:tbl>
    <w:p w14:paraId="6953B81F" w14:textId="77777777" w:rsidR="00A72390" w:rsidRDefault="009E7BED">
      <w:pPr>
        <w:pStyle w:val="Heading2"/>
        <w:numPr>
          <w:ilvl w:val="1"/>
          <w:numId w:val="6"/>
        </w:numPr>
        <w:spacing w:before="0"/>
        <w:rPr>
          <w:rFonts w:ascii="Calibri" w:eastAsia="Calibri" w:hAnsi="Calibri" w:cs="Calibri"/>
        </w:rPr>
      </w:pPr>
      <w:r>
        <w:rPr>
          <w:rFonts w:ascii="Calibri" w:eastAsia="Calibri" w:hAnsi="Calibri" w:cs="Calibri"/>
        </w:rPr>
        <w:t>University Drop Policy</w:t>
      </w:r>
    </w:p>
    <w:tbl>
      <w:tblPr>
        <w:tblStyle w:val="af6"/>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A72390" w14:paraId="2D2E3A7F" w14:textId="77777777">
        <w:tc>
          <w:tcPr>
            <w:tcW w:w="9360" w:type="dxa"/>
            <w:tcBorders>
              <w:top w:val="nil"/>
              <w:left w:val="nil"/>
              <w:bottom w:val="nil"/>
              <w:right w:val="nil"/>
            </w:tcBorders>
          </w:tcPr>
          <w:p w14:paraId="4BCB7BAA" w14:textId="77777777" w:rsidR="00A72390" w:rsidRDefault="00A72390"/>
          <w:tbl>
            <w:tblPr>
              <w:tblStyle w:val="af7"/>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A72390" w14:paraId="7919220E" w14:textId="77777777">
              <w:tc>
                <w:tcPr>
                  <w:tcW w:w="9160" w:type="dxa"/>
                  <w:shd w:val="clear" w:color="auto" w:fill="auto"/>
                  <w:tcMar>
                    <w:top w:w="100" w:type="dxa"/>
                    <w:left w:w="100" w:type="dxa"/>
                    <w:bottom w:w="100" w:type="dxa"/>
                    <w:right w:w="100" w:type="dxa"/>
                  </w:tcMar>
                </w:tcPr>
                <w:p w14:paraId="58541301" w14:textId="77777777" w:rsidR="00A72390" w:rsidRDefault="009E7BED">
                  <w:pPr>
                    <w:rPr>
                      <w:sz w:val="24"/>
                      <w:szCs w:val="24"/>
                    </w:rPr>
                  </w:pPr>
                  <w:r>
                    <w:rPr>
                      <w:sz w:val="24"/>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w:t>
                  </w:r>
                  <w:r>
                    <w:rPr>
                      <w:sz w:val="24"/>
                      <w:szCs w:val="24"/>
                    </w:rPr>
                    <w:t xml:space="preserve">fail to officially drop, you will receive an F in the course at the end of the semester. A link to the </w:t>
                  </w:r>
                  <w:r>
                    <w:rPr>
                      <w:sz w:val="24"/>
                      <w:szCs w:val="24"/>
                    </w:rPr>
                    <w:lastRenderedPageBreak/>
                    <w:t xml:space="preserve">university’s drop policy can be found at:  </w:t>
                  </w:r>
                  <w:hyperlink r:id="rId21" w:anchor="Drop/Add/Withdrawal_Procedures">
                    <w:r>
                      <w:rPr>
                        <w:color w:val="0563C1"/>
                        <w:sz w:val="24"/>
                        <w:szCs w:val="24"/>
                        <w:u w:val="single"/>
                      </w:rPr>
                      <w:t>https://catalog.uwsp.edu/content.php?catoid=11&amp;navoid=431&amp;hl=add%2Fdrop&amp;returnto=search#Drop/Add/Withdrawal_Procedures</w:t>
                    </w:r>
                  </w:hyperlink>
                </w:p>
                <w:p w14:paraId="2C69FCEF" w14:textId="77777777" w:rsidR="00A72390" w:rsidRDefault="00A72390">
                  <w:pPr>
                    <w:widowControl w:val="0"/>
                    <w:pBdr>
                      <w:top w:val="nil"/>
                      <w:left w:val="nil"/>
                      <w:bottom w:val="nil"/>
                      <w:right w:val="nil"/>
                      <w:between w:val="nil"/>
                    </w:pBdr>
                    <w:rPr>
                      <w:sz w:val="24"/>
                      <w:szCs w:val="24"/>
                    </w:rPr>
                  </w:pPr>
                </w:p>
              </w:tc>
            </w:tr>
          </w:tbl>
          <w:p w14:paraId="543C6CFE" w14:textId="77777777" w:rsidR="00A72390" w:rsidRDefault="00A72390"/>
        </w:tc>
      </w:tr>
    </w:tbl>
    <w:p w14:paraId="6186D507" w14:textId="77777777" w:rsidR="00A72390" w:rsidRDefault="00A72390">
      <w:pPr>
        <w:rPr>
          <w:sz w:val="24"/>
          <w:szCs w:val="24"/>
        </w:rPr>
      </w:pPr>
    </w:p>
    <w:p w14:paraId="0CA764E8" w14:textId="77777777" w:rsidR="00A72390" w:rsidRDefault="00A72390">
      <w:pPr>
        <w:ind w:firstLine="720"/>
        <w:rPr>
          <w:sz w:val="24"/>
          <w:szCs w:val="24"/>
        </w:rPr>
      </w:pPr>
    </w:p>
    <w:p w14:paraId="0CD6D953" w14:textId="77777777" w:rsidR="00A72390" w:rsidRDefault="00A72390">
      <w:pPr>
        <w:rPr>
          <w:sz w:val="36"/>
          <w:szCs w:val="36"/>
        </w:rPr>
      </w:pPr>
    </w:p>
    <w:sectPr w:rsidR="00A7239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058D" w14:textId="77777777" w:rsidR="00000000" w:rsidRDefault="009E7BED">
      <w:r>
        <w:separator/>
      </w:r>
    </w:p>
  </w:endnote>
  <w:endnote w:type="continuationSeparator" w:id="0">
    <w:p w14:paraId="77C8481A" w14:textId="77777777" w:rsidR="00000000" w:rsidRDefault="009E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ibre Baskerville">
    <w:altName w:val="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2353" w14:textId="77777777" w:rsidR="00A72390" w:rsidRDefault="00A7239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827B" w14:textId="77777777" w:rsidR="00A72390" w:rsidRDefault="009E7BED">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0D1" w14:textId="77777777" w:rsidR="00A72390" w:rsidRDefault="009E7BED">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7B17" w14:textId="77777777" w:rsidR="00000000" w:rsidRDefault="009E7BED">
      <w:r>
        <w:separator/>
      </w:r>
    </w:p>
  </w:footnote>
  <w:footnote w:type="continuationSeparator" w:id="0">
    <w:p w14:paraId="6E025DAB" w14:textId="77777777" w:rsidR="00000000" w:rsidRDefault="009E7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49D6" w14:textId="77777777" w:rsidR="00A72390" w:rsidRDefault="00A7239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0979" w14:textId="77777777" w:rsidR="00A72390" w:rsidRDefault="009E7BED">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5B62" w14:textId="77777777" w:rsidR="00A72390" w:rsidRDefault="009E7BED">
    <w:pPr>
      <w:pBdr>
        <w:top w:val="nil"/>
        <w:left w:val="nil"/>
        <w:bottom w:val="nil"/>
        <w:right w:val="nil"/>
        <w:between w:val="nil"/>
      </w:pBdr>
      <w:tabs>
        <w:tab w:val="left" w:pos="0"/>
      </w:tabs>
      <w:rPr>
        <w:color w:val="000000"/>
      </w:rPr>
    </w:pPr>
    <w:r>
      <w:rPr>
        <w:noProof/>
      </w:rPr>
      <mc:AlternateContent>
        <mc:Choice Requires="wpg">
          <w:drawing>
            <wp:anchor distT="0" distB="0" distL="114300" distR="114300" simplePos="0" relativeHeight="251658240" behindDoc="0" locked="0" layoutInCell="1" hidden="0" allowOverlap="1" wp14:anchorId="5C8ECB05" wp14:editId="6D0F5E93">
              <wp:simplePos x="0" y="0"/>
              <wp:positionH relativeFrom="column">
                <wp:posOffset>12701</wp:posOffset>
              </wp:positionH>
              <wp:positionV relativeFrom="paragraph">
                <wp:posOffset>114300</wp:posOffset>
              </wp:positionV>
              <wp:extent cx="5943600" cy="127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360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p w14:paraId="700782EF" w14:textId="77777777" w:rsidR="00A72390" w:rsidRDefault="009E7BED">
    <w:pPr>
      <w:pBdr>
        <w:top w:val="nil"/>
        <w:left w:val="nil"/>
        <w:bottom w:val="nil"/>
        <w:right w:val="nil"/>
        <w:between w:val="nil"/>
      </w:pBdr>
      <w:tabs>
        <w:tab w:val="left" w:pos="0"/>
      </w:tabs>
      <w:rPr>
        <w:color w:val="000000"/>
      </w:rPr>
    </w:pPr>
    <w:r>
      <w:rPr>
        <w:noProof/>
        <w:color w:val="000000"/>
      </w:rPr>
      <w:drawing>
        <wp:inline distT="0" distB="0" distL="0" distR="0" wp14:anchorId="01AC0C7E" wp14:editId="4067DE38">
          <wp:extent cx="2801675" cy="59146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801675" cy="591464"/>
                  </a:xfrm>
                  <a:prstGeom prst="rect">
                    <a:avLst/>
                  </a:prstGeom>
                  <a:ln/>
                </pic:spPr>
              </pic:pic>
            </a:graphicData>
          </a:graphic>
        </wp:inline>
      </w:drawing>
    </w:r>
  </w:p>
  <w:p w14:paraId="6B36FDD6" w14:textId="77777777" w:rsidR="00A72390" w:rsidRDefault="009E7BED">
    <w:pPr>
      <w:pBdr>
        <w:top w:val="nil"/>
        <w:left w:val="nil"/>
        <w:bottom w:val="nil"/>
        <w:right w:val="nil"/>
        <w:between w:val="nil"/>
      </w:pBdr>
      <w:tabs>
        <w:tab w:val="left" w:pos="0"/>
      </w:tabs>
      <w:rPr>
        <w:sz w:val="14"/>
        <w:szCs w:val="14"/>
      </w:rPr>
    </w:pPr>
    <w:r>
      <w:rPr>
        <w:noProof/>
      </w:rPr>
      <mc:AlternateContent>
        <mc:Choice Requires="wpg">
          <w:drawing>
            <wp:anchor distT="0" distB="0" distL="114300" distR="114300" simplePos="0" relativeHeight="251659264" behindDoc="0" locked="0" layoutInCell="1" hidden="0" allowOverlap="1" wp14:anchorId="6BC4D6C5" wp14:editId="79703EE5">
              <wp:simplePos x="0" y="0"/>
              <wp:positionH relativeFrom="column">
                <wp:posOffset>12701</wp:posOffset>
              </wp:positionH>
              <wp:positionV relativeFrom="paragraph">
                <wp:posOffset>25400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51269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p w14:paraId="37B4F40D" w14:textId="77777777" w:rsidR="00A72390" w:rsidRDefault="009E7BED">
    <w:pPr>
      <w:pBdr>
        <w:top w:val="nil"/>
        <w:left w:val="nil"/>
        <w:bottom w:val="nil"/>
        <w:right w:val="nil"/>
        <w:between w:val="nil"/>
      </w:pBdr>
      <w:tabs>
        <w:tab w:val="left" w:pos="0"/>
      </w:tabs>
      <w:jc w:val="right"/>
      <w:rPr>
        <w:sz w:val="14"/>
        <w:szCs w:val="14"/>
      </w:rPr>
    </w:pPr>
    <w:r>
      <w:rPr>
        <w:sz w:val="14"/>
        <w:szCs w:val="14"/>
      </w:rPr>
      <w:fldChar w:fldCharType="begin"/>
    </w:r>
    <w:r>
      <w:rPr>
        <w:sz w:val="14"/>
        <w:szCs w:val="14"/>
      </w:rPr>
      <w:instrText>PAGE</w:instrText>
    </w:r>
    <w:r>
      <w:rPr>
        <w:sz w:val="14"/>
        <w:szCs w:val="14"/>
      </w:rPr>
      <w:fldChar w:fldCharType="separate"/>
    </w:r>
    <w:r>
      <w:rPr>
        <w:noProof/>
        <w:sz w:val="14"/>
        <w:szCs w:val="14"/>
      </w:rPr>
      <w:t>1</w:t>
    </w:r>
    <w:r>
      <w:rP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A62"/>
    <w:multiLevelType w:val="multilevel"/>
    <w:tmpl w:val="4F04A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1A2F79"/>
    <w:multiLevelType w:val="multilevel"/>
    <w:tmpl w:val="072C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E51E9"/>
    <w:multiLevelType w:val="multilevel"/>
    <w:tmpl w:val="1E3E9BE2"/>
    <w:lvl w:ilvl="0">
      <w:start w:val="1"/>
      <w:numFmt w:val="decimal"/>
      <w:lvlText w:val="%1."/>
      <w:lvlJc w:val="left"/>
      <w:pPr>
        <w:ind w:left="360" w:hanging="360"/>
      </w:pPr>
    </w:lvl>
    <w:lvl w:ilvl="1">
      <w:start w:val="1"/>
      <w:numFmt w:val="decimal"/>
      <w:lvlText w:val="%1.%2."/>
      <w:lvlJc w:val="left"/>
      <w:pPr>
        <w:ind w:left="792" w:hanging="432"/>
      </w:pPr>
      <w:rPr>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5466E7"/>
    <w:multiLevelType w:val="multilevel"/>
    <w:tmpl w:val="CEAC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7C550D"/>
    <w:multiLevelType w:val="multilevel"/>
    <w:tmpl w:val="22B87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AE5194"/>
    <w:multiLevelType w:val="multilevel"/>
    <w:tmpl w:val="A1C23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112B8"/>
    <w:multiLevelType w:val="multilevel"/>
    <w:tmpl w:val="897CB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1546488">
    <w:abstractNumId w:val="6"/>
  </w:num>
  <w:num w:numId="2" w16cid:durableId="651909143">
    <w:abstractNumId w:val="0"/>
  </w:num>
  <w:num w:numId="3" w16cid:durableId="1917470127">
    <w:abstractNumId w:val="1"/>
  </w:num>
  <w:num w:numId="4" w16cid:durableId="1290628645">
    <w:abstractNumId w:val="3"/>
  </w:num>
  <w:num w:numId="5" w16cid:durableId="1865433486">
    <w:abstractNumId w:val="5"/>
  </w:num>
  <w:num w:numId="6" w16cid:durableId="266038931">
    <w:abstractNumId w:val="2"/>
  </w:num>
  <w:num w:numId="7" w16cid:durableId="536048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90"/>
    <w:rsid w:val="009E7BED"/>
    <w:rsid w:val="00A7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1078"/>
  <w15:docId w15:val="{867D501C-DE80-4478-A240-5A9874EE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C82E"/>
      <w:spacing w:after="80"/>
      <w:ind w:left="360" w:hanging="360"/>
      <w:outlineLvl w:val="0"/>
    </w:pPr>
    <w:rPr>
      <w:rFonts w:ascii="Century Gothic" w:eastAsia="Century Gothic" w:hAnsi="Century Gothic" w:cs="Century Gothic"/>
      <w:b/>
      <w:smallCaps/>
      <w:color w:val="512698"/>
      <w:sz w:val="30"/>
      <w:szCs w:val="30"/>
    </w:rPr>
  </w:style>
  <w:style w:type="paragraph" w:styleId="Heading2">
    <w:name w:val="heading 2"/>
    <w:basedOn w:val="Normal"/>
    <w:next w:val="Normal"/>
    <w:uiPriority w:val="9"/>
    <w:unhideWhenUsed/>
    <w:qFormat/>
    <w:pPr>
      <w:tabs>
        <w:tab w:val="left" w:pos="900"/>
      </w:tabs>
      <w:spacing w:before="240"/>
      <w:ind w:left="792" w:hanging="432"/>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720"/>
    </w:pPr>
    <w:rPr>
      <w:rFonts w:ascii="Verdana" w:eastAsia="Verdana" w:hAnsi="Verdana" w:cs="Verdana"/>
      <w:b/>
      <w:color w:val="000000"/>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table" w:customStyle="1" w:styleId="a2">
    <w:basedOn w:val="TableNormal"/>
    <w:rPr>
      <w:sz w:val="24"/>
      <w:szCs w:val="24"/>
    </w:rPr>
    <w:tblPr>
      <w:tblStyleRowBandSize w:val="1"/>
      <w:tblStyleColBandSize w:val="1"/>
    </w:tblPr>
  </w:style>
  <w:style w:type="table" w:customStyle="1" w:styleId="a3">
    <w:basedOn w:val="TableNormal"/>
    <w:rPr>
      <w:sz w:val="24"/>
      <w:szCs w:val="24"/>
    </w:rPr>
    <w:tblPr>
      <w:tblStyleRowBandSize w:val="1"/>
      <w:tblStyleColBandSize w:val="1"/>
    </w:tblPr>
  </w:style>
  <w:style w:type="table" w:customStyle="1" w:styleId="a4">
    <w:basedOn w:val="TableNormal"/>
    <w:rPr>
      <w:sz w:val="24"/>
      <w:szCs w:val="24"/>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rPr>
      <w:sz w:val="24"/>
      <w:szCs w:val="24"/>
    </w:rPr>
    <w:tblPr>
      <w:tblStyleRowBandSize w:val="1"/>
      <w:tblStyleColBandSize w:val="1"/>
    </w:tblPr>
  </w:style>
  <w:style w:type="table" w:customStyle="1" w:styleId="a8">
    <w:basedOn w:val="TableNormal"/>
    <w:rPr>
      <w:sz w:val="24"/>
      <w:szCs w:val="24"/>
    </w:rPr>
    <w:tblPr>
      <w:tblStyleRowBandSize w:val="1"/>
      <w:tblStyleColBandSize w:val="1"/>
    </w:tblPr>
  </w:style>
  <w:style w:type="table" w:customStyle="1" w:styleId="a9">
    <w:basedOn w:val="TableNormal"/>
    <w:rPr>
      <w:sz w:val="24"/>
      <w:szCs w:val="24"/>
    </w:rPr>
    <w:tblPr>
      <w:tblStyleRowBandSize w:val="1"/>
      <w:tblStyleColBandSize w:val="1"/>
    </w:tblPr>
  </w:style>
  <w:style w:type="table" w:customStyle="1" w:styleId="aa">
    <w:basedOn w:val="TableNormal"/>
    <w:rPr>
      <w:sz w:val="24"/>
      <w:szCs w:val="24"/>
    </w:rPr>
    <w:tblPr>
      <w:tblStyleRowBandSize w:val="1"/>
      <w:tblStyleColBandSize w:val="1"/>
    </w:tblPr>
  </w:style>
  <w:style w:type="table" w:customStyle="1" w:styleId="ab">
    <w:basedOn w:val="TableNormal"/>
    <w:rPr>
      <w:sz w:val="24"/>
      <w:szCs w:val="24"/>
    </w:rPr>
    <w:tblPr>
      <w:tblStyleRowBandSize w:val="1"/>
      <w:tblStyleColBandSize w:val="1"/>
    </w:tblPr>
  </w:style>
  <w:style w:type="table" w:customStyle="1" w:styleId="ac">
    <w:basedOn w:val="TableNormal"/>
    <w:rPr>
      <w:sz w:val="24"/>
      <w:szCs w:val="24"/>
    </w:rPr>
    <w:tblPr>
      <w:tblStyleRowBandSize w:val="1"/>
      <w:tblStyleColBandSize w:val="1"/>
    </w:tblPr>
  </w:style>
  <w:style w:type="table" w:customStyle="1" w:styleId="ad">
    <w:basedOn w:val="TableNormal"/>
    <w:rPr>
      <w:sz w:val="24"/>
      <w:szCs w:val="24"/>
    </w:rPr>
    <w:tblPr>
      <w:tblStyleRowBandSize w:val="1"/>
      <w:tblStyleColBandSize w:val="1"/>
    </w:tblPr>
  </w:style>
  <w:style w:type="table" w:customStyle="1" w:styleId="ae">
    <w:basedOn w:val="TableNormal"/>
    <w:rPr>
      <w:sz w:val="24"/>
      <w:szCs w:val="24"/>
    </w:rPr>
    <w:tblPr>
      <w:tblStyleRowBandSize w:val="1"/>
      <w:tblStyleColBandSize w:val="1"/>
    </w:tblPr>
  </w:style>
  <w:style w:type="table" w:customStyle="1" w:styleId="af">
    <w:basedOn w:val="TableNormal"/>
    <w:rPr>
      <w:sz w:val="24"/>
      <w:szCs w:val="24"/>
    </w:rPr>
    <w:tblPr>
      <w:tblStyleRowBandSize w:val="1"/>
      <w:tblStyleColBandSize w:val="1"/>
    </w:tblPr>
  </w:style>
  <w:style w:type="table" w:customStyle="1" w:styleId="af0">
    <w:basedOn w:val="TableNormal"/>
    <w:rPr>
      <w:sz w:val="24"/>
      <w:szCs w:val="24"/>
    </w:r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rPr>
      <w:sz w:val="24"/>
      <w:szCs w:val="24"/>
    </w:rPr>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rPr>
      <w:sz w:val="24"/>
      <w:szCs w:val="24"/>
    </w:r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rPr>
      <w:sz w:val="24"/>
      <w:szCs w:val="24"/>
    </w:r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1Aj193mUFs_GnZUp8AIanc7zq5KL3zi8GziEhFC3DPk/edit?usp=sharing" TargetMode="External"/><Relationship Id="rId13" Type="http://schemas.openxmlformats.org/officeDocument/2006/relationships/hyperlink" Target="https://www.inc.com/michael-schneider/a-new-linkedin-report-says-these-are-10-skills-that-will-get-you-hired-faster-than-anything-else.html" TargetMode="External"/><Relationship Id="rId18" Type="http://schemas.openxmlformats.org/officeDocument/2006/relationships/hyperlink" Target="http://www.uwsp.edu/stuhealth/Pages/default.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catalog.uwsp.edu/content.php?catoid=11&amp;navoid=431&amp;hl=add%2Fdrop&amp;returnto=search" TargetMode="External"/><Relationship Id="rId7" Type="http://schemas.openxmlformats.org/officeDocument/2006/relationships/hyperlink" Target="https://wisconsin-edu.zoom.us/j/4743863203?pwd=ejRzblphMjBjalJQSGRPR1RFbFFudz09&amp;_x_zm_rtaid=5nUg1NyfTceBvaUtzmjmJw.1662469366359.cd7404a554e5fab0cedfcff5746effa4&amp;_x_zm_rhtaid=798" TargetMode="External"/><Relationship Id="rId12" Type="http://schemas.openxmlformats.org/officeDocument/2006/relationships/image" Target="media/image1.png"/><Relationship Id="rId17" Type="http://schemas.openxmlformats.org/officeDocument/2006/relationships/hyperlink" Target="https://www.uwsp.edu/tlc/Pages/default.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wsp.edu/datc/Pages/default.aspx" TargetMode="External"/><Relationship Id="rId20" Type="http://schemas.openxmlformats.org/officeDocument/2006/relationships/hyperlink" Target="http://www.uwsp.edu/dos/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bsu.az/books_400/N_232.pdf"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uwsp.edu/datc/Pages/uw-legal-policy-info.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kpcolorado.net/sites/default/files/2011_01_06_art_of_persuasion.pdf" TargetMode="External"/><Relationship Id="rId19" Type="http://schemas.openxmlformats.org/officeDocument/2006/relationships/hyperlink" Target="http://www.uwsp.edu/counseling/Pages/default.aspx"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myconnectingstyle.com/content/handbook-for-early-career-success.pdf" TargetMode="External"/><Relationship Id="rId14" Type="http://schemas.openxmlformats.org/officeDocument/2006/relationships/hyperlink" Target="https://docs.google.com/document/d/18wnyi5ksAAflLOQF18pCaMJ_n4z0MEcMNzICriDVrIY/edi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301</Number>
    <Section xmlns="409cf07c-705a-4568-bc2e-e1a7cd36a2d3">04</Section>
    <Calendar_x0020_Year xmlns="409cf07c-705a-4568-bc2e-e1a7cd36a2d3">2023</Calendar_x0020_Year>
    <Course_x0020_Name xmlns="409cf07c-705a-4568-bc2e-e1a7cd36a2d3">Build Relationships Business</Course_x0020_Name>
    <Instructor xmlns="409cf07c-705a-4568-bc2e-e1a7cd36a2d3">Reed Stratton </Instructor>
    <Pre xmlns="409cf07c-705a-4568-bc2e-e1a7cd36a2d3">14</Pre>
  </documentManagement>
</p:properties>
</file>

<file path=customXml/itemProps1.xml><?xml version="1.0" encoding="utf-8"?>
<ds:datastoreItem xmlns:ds="http://schemas.openxmlformats.org/officeDocument/2006/customXml" ds:itemID="{EBB594DC-8EBF-4A89-8721-11AC4E927587}"/>
</file>

<file path=customXml/itemProps2.xml><?xml version="1.0" encoding="utf-8"?>
<ds:datastoreItem xmlns:ds="http://schemas.openxmlformats.org/officeDocument/2006/customXml" ds:itemID="{016FBC66-D0D7-43DF-AC38-1C15C9E3B3A8}"/>
</file>

<file path=customXml/itemProps3.xml><?xml version="1.0" encoding="utf-8"?>
<ds:datastoreItem xmlns:ds="http://schemas.openxmlformats.org/officeDocument/2006/customXml" ds:itemID="{DB92DA4D-626C-4718-992B-2CAD4F06F1C9}"/>
</file>

<file path=docProps/app.xml><?xml version="1.0" encoding="utf-8"?>
<Properties xmlns="http://schemas.openxmlformats.org/officeDocument/2006/extended-properties" xmlns:vt="http://schemas.openxmlformats.org/officeDocument/2006/docPropsVTypes">
  <Template>Normal</Template>
  <TotalTime>0</TotalTime>
  <Pages>11</Pages>
  <Words>2806</Words>
  <Characters>15997</Characters>
  <Application>Microsoft Office Word</Application>
  <DocSecurity>0</DocSecurity>
  <Lines>133</Lines>
  <Paragraphs>37</Paragraphs>
  <ScaleCrop>false</ScaleCrop>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Kim</dc:creator>
  <cp:lastModifiedBy>Carroll, Kim</cp:lastModifiedBy>
  <cp:revision>2</cp:revision>
  <dcterms:created xsi:type="dcterms:W3CDTF">2023-02-17T16:36:00Z</dcterms:created>
  <dcterms:modified xsi:type="dcterms:W3CDTF">2023-02-17T16:36:00Z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